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C2" w:rsidRPr="00435D09" w:rsidRDefault="00CF13C2" w:rsidP="00CF13C2">
      <w:pPr>
        <w:widowControl/>
        <w:adjustRightInd w:val="0"/>
        <w:snapToGrid w:val="0"/>
        <w:spacing w:line="360" w:lineRule="auto"/>
        <w:rPr>
          <w:rFonts w:ascii="宋体" w:hAnsi="黑体"/>
          <w:kern w:val="0"/>
        </w:rPr>
      </w:pPr>
      <w:r w:rsidRPr="000814BD">
        <w:rPr>
          <w:rFonts w:ascii="宋体" w:hAnsi="黑体" w:cs="宋体" w:hint="eastAsia"/>
          <w:kern w:val="0"/>
        </w:rPr>
        <w:t>证券简称：三</w:t>
      </w:r>
      <w:proofErr w:type="gramStart"/>
      <w:r w:rsidRPr="000814BD">
        <w:rPr>
          <w:rFonts w:ascii="宋体" w:hAnsi="黑体" w:cs="宋体" w:hint="eastAsia"/>
          <w:kern w:val="0"/>
        </w:rPr>
        <w:t>特</w:t>
      </w:r>
      <w:proofErr w:type="gramEnd"/>
      <w:r w:rsidRPr="000814BD">
        <w:rPr>
          <w:rFonts w:ascii="宋体" w:hAnsi="黑体" w:cs="宋体" w:hint="eastAsia"/>
          <w:kern w:val="0"/>
        </w:rPr>
        <w:t>索道</w:t>
      </w:r>
      <w:r w:rsidRPr="000814BD">
        <w:rPr>
          <w:rFonts w:ascii="宋体" w:hAnsi="黑体" w:cs="宋体"/>
          <w:kern w:val="0"/>
        </w:rPr>
        <w:t xml:space="preserve">              </w:t>
      </w:r>
      <w:r w:rsidRPr="000814BD">
        <w:rPr>
          <w:rFonts w:ascii="宋体" w:hAnsi="黑体" w:cs="宋体" w:hint="eastAsia"/>
          <w:kern w:val="0"/>
        </w:rPr>
        <w:t>证券代码：</w:t>
      </w:r>
      <w:r w:rsidRPr="000814BD">
        <w:rPr>
          <w:rFonts w:ascii="宋体" w:hAnsi="黑体" w:cs="宋体"/>
          <w:kern w:val="0"/>
        </w:rPr>
        <w:t xml:space="preserve">002159            </w:t>
      </w:r>
      <w:r w:rsidRPr="000814BD">
        <w:rPr>
          <w:rFonts w:ascii="宋体" w:hAnsi="黑体" w:cs="宋体" w:hint="eastAsia"/>
          <w:kern w:val="0"/>
        </w:rPr>
        <w:t>公告编号：临</w:t>
      </w:r>
      <w:r w:rsidRPr="000814BD">
        <w:rPr>
          <w:rFonts w:ascii="宋体" w:hAnsi="黑体" w:cs="宋体"/>
          <w:kern w:val="0"/>
        </w:rPr>
        <w:t>201</w:t>
      </w:r>
      <w:r w:rsidRPr="000814BD">
        <w:rPr>
          <w:rFonts w:ascii="宋体" w:hAnsi="黑体" w:cs="宋体" w:hint="eastAsia"/>
          <w:kern w:val="0"/>
        </w:rPr>
        <w:t>5</w:t>
      </w:r>
      <w:r w:rsidRPr="000814BD">
        <w:rPr>
          <w:rFonts w:ascii="宋体" w:hAnsi="黑体" w:cs="宋体"/>
          <w:kern w:val="0"/>
        </w:rPr>
        <w:t>-</w:t>
      </w:r>
      <w:r w:rsidR="00296408">
        <w:rPr>
          <w:rFonts w:ascii="宋体" w:hAnsi="黑体" w:cs="宋体" w:hint="eastAsia"/>
          <w:kern w:val="0"/>
        </w:rPr>
        <w:t>30</w:t>
      </w:r>
    </w:p>
    <w:p w:rsidR="00CF13C2" w:rsidRPr="005B0991" w:rsidRDefault="00CF13C2" w:rsidP="001A27B6">
      <w:pPr>
        <w:adjustRightInd w:val="0"/>
        <w:snapToGrid w:val="0"/>
        <w:spacing w:beforeLines="50" w:line="360" w:lineRule="auto"/>
        <w:jc w:val="center"/>
        <w:rPr>
          <w:b/>
          <w:bCs/>
          <w:sz w:val="32"/>
          <w:szCs w:val="32"/>
        </w:rPr>
      </w:pPr>
      <w:r w:rsidRPr="005B0991">
        <w:rPr>
          <w:rFonts w:cs="宋体" w:hint="eastAsia"/>
          <w:b/>
          <w:bCs/>
          <w:sz w:val="32"/>
          <w:szCs w:val="32"/>
        </w:rPr>
        <w:t>武汉三</w:t>
      </w:r>
      <w:proofErr w:type="gramStart"/>
      <w:r w:rsidRPr="005B0991">
        <w:rPr>
          <w:rFonts w:cs="宋体" w:hint="eastAsia"/>
          <w:b/>
          <w:bCs/>
          <w:sz w:val="32"/>
          <w:szCs w:val="32"/>
        </w:rPr>
        <w:t>特</w:t>
      </w:r>
      <w:proofErr w:type="gramEnd"/>
      <w:r w:rsidRPr="005B0991">
        <w:rPr>
          <w:rFonts w:cs="宋体" w:hint="eastAsia"/>
          <w:b/>
          <w:bCs/>
          <w:sz w:val="32"/>
          <w:szCs w:val="32"/>
        </w:rPr>
        <w:t>索道集团股份有限公司</w:t>
      </w:r>
    </w:p>
    <w:p w:rsidR="00CF13C2" w:rsidRPr="005B0991" w:rsidRDefault="00A02B55" w:rsidP="001A27B6">
      <w:pPr>
        <w:adjustRightInd w:val="0"/>
        <w:snapToGrid w:val="0"/>
        <w:spacing w:afterLines="50" w:line="360" w:lineRule="auto"/>
        <w:jc w:val="center"/>
        <w:rPr>
          <w:b/>
          <w:bCs/>
          <w:sz w:val="32"/>
          <w:szCs w:val="32"/>
        </w:rPr>
      </w:pPr>
      <w:r w:rsidRPr="00A02B55">
        <w:rPr>
          <w:rFonts w:cs="宋体" w:hint="eastAsia"/>
          <w:b/>
          <w:bCs/>
          <w:sz w:val="32"/>
          <w:szCs w:val="32"/>
        </w:rPr>
        <w:t>筹划重组停牌期满申请继续停牌公告</w:t>
      </w:r>
    </w:p>
    <w:tbl>
      <w:tblPr>
        <w:tblStyle w:val="a"/>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6"/>
      </w:tblGrid>
      <w:tr w:rsidR="00CF13C2" w:rsidRPr="000E0EE2" w:rsidTr="001F00BA">
        <w:trPr>
          <w:trHeight w:val="1092"/>
        </w:trPr>
        <w:tc>
          <w:tcPr>
            <w:tcW w:w="8616" w:type="dxa"/>
          </w:tcPr>
          <w:p w:rsidR="00CF13C2" w:rsidRPr="000E0EE2" w:rsidRDefault="00CF13C2" w:rsidP="001A27B6">
            <w:pPr>
              <w:autoSpaceDE w:val="0"/>
              <w:autoSpaceDN w:val="0"/>
              <w:adjustRightInd w:val="0"/>
              <w:snapToGrid w:val="0"/>
              <w:spacing w:beforeLines="50" w:line="360" w:lineRule="auto"/>
              <w:ind w:left="-3" w:firstLineChars="200" w:firstLine="560"/>
              <w:rPr>
                <w:rFonts w:ascii="仿宋" w:eastAsia="仿宋" w:hAnsi="仿宋"/>
                <w:kern w:val="0"/>
                <w:sz w:val="28"/>
                <w:szCs w:val="28"/>
              </w:rPr>
            </w:pPr>
            <w:r w:rsidRPr="000E0EE2">
              <w:rPr>
                <w:rFonts w:ascii="仿宋" w:eastAsia="仿宋" w:hAnsi="仿宋" w:cs="仿宋" w:hint="eastAsia"/>
                <w:kern w:val="0"/>
                <w:sz w:val="28"/>
                <w:szCs w:val="28"/>
              </w:rPr>
              <w:t>本公司及董事会全体成员保证信息披露的内容真实、准确和完整，没有虚假记载、误导性陈述或者重大遗漏。</w:t>
            </w:r>
          </w:p>
        </w:tc>
      </w:tr>
    </w:tbl>
    <w:p w:rsidR="002E4666" w:rsidRPr="002E4666" w:rsidRDefault="002E4666" w:rsidP="002E4666">
      <w:pPr>
        <w:spacing w:line="360" w:lineRule="auto"/>
        <w:rPr>
          <w:rFonts w:ascii="仿宋" w:eastAsia="仿宋" w:hAnsi="仿宋" w:cs="Arial"/>
          <w:b/>
          <w:sz w:val="28"/>
          <w:szCs w:val="28"/>
        </w:rPr>
      </w:pPr>
      <w:r w:rsidRPr="002E4666">
        <w:rPr>
          <w:rFonts w:ascii="仿宋" w:eastAsia="仿宋" w:hAnsi="仿宋" w:cs="Arial" w:hint="eastAsia"/>
          <w:b/>
          <w:sz w:val="28"/>
          <w:szCs w:val="28"/>
        </w:rPr>
        <w:t>一、重大资产重组进展情况</w:t>
      </w:r>
    </w:p>
    <w:p w:rsidR="002E4666" w:rsidRPr="002E4666" w:rsidRDefault="002E4666" w:rsidP="002E4666">
      <w:pPr>
        <w:spacing w:line="360" w:lineRule="auto"/>
        <w:ind w:firstLineChars="200" w:firstLine="560"/>
        <w:rPr>
          <w:rFonts w:ascii="仿宋" w:eastAsia="仿宋" w:hAnsi="仿宋"/>
          <w:sz w:val="28"/>
          <w:szCs w:val="28"/>
        </w:rPr>
      </w:pPr>
      <w:r w:rsidRPr="002E4666">
        <w:rPr>
          <w:rFonts w:ascii="仿宋" w:eastAsia="仿宋" w:hAnsi="仿宋" w:hint="eastAsia"/>
          <w:sz w:val="28"/>
          <w:szCs w:val="28"/>
        </w:rPr>
        <w:t>武汉三</w:t>
      </w:r>
      <w:proofErr w:type="gramStart"/>
      <w:r w:rsidRPr="002E4666">
        <w:rPr>
          <w:rFonts w:ascii="仿宋" w:eastAsia="仿宋" w:hAnsi="仿宋" w:hint="eastAsia"/>
          <w:sz w:val="28"/>
          <w:szCs w:val="28"/>
        </w:rPr>
        <w:t>特</w:t>
      </w:r>
      <w:proofErr w:type="gramEnd"/>
      <w:r w:rsidRPr="002E4666">
        <w:rPr>
          <w:rFonts w:ascii="仿宋" w:eastAsia="仿宋" w:hAnsi="仿宋" w:hint="eastAsia"/>
          <w:sz w:val="28"/>
          <w:szCs w:val="28"/>
        </w:rPr>
        <w:t>索道集团股份有限公司（以下简称“公司”）因投资设立并购基金，经向深圳证券交易所申请，公司股票（证券简称：三</w:t>
      </w:r>
      <w:proofErr w:type="gramStart"/>
      <w:r w:rsidRPr="002E4666">
        <w:rPr>
          <w:rFonts w:ascii="仿宋" w:eastAsia="仿宋" w:hAnsi="仿宋" w:hint="eastAsia"/>
          <w:sz w:val="28"/>
          <w:szCs w:val="28"/>
        </w:rPr>
        <w:t>特</w:t>
      </w:r>
      <w:proofErr w:type="gramEnd"/>
      <w:r w:rsidRPr="002E4666">
        <w:rPr>
          <w:rFonts w:ascii="仿宋" w:eastAsia="仿宋" w:hAnsi="仿宋" w:hint="eastAsia"/>
          <w:sz w:val="28"/>
          <w:szCs w:val="28"/>
        </w:rPr>
        <w:t>索道，证券代码：002159）自2015年1月15日开市起停牌。2015年2月3日，公司发布《重大资产重组停牌公告》，公司股票继续停牌不超过30日。2015年3月5日，公司发布《关于公司股票延期复牌的公告》。因本次重组事项依然存在不确定性，根据</w:t>
      </w:r>
      <w:r>
        <w:rPr>
          <w:rFonts w:ascii="仿宋" w:eastAsia="仿宋" w:hAnsi="仿宋" w:hint="eastAsia"/>
          <w:sz w:val="28"/>
          <w:szCs w:val="28"/>
        </w:rPr>
        <w:t>深圳证券交易所</w:t>
      </w:r>
      <w:r w:rsidRPr="002E4666">
        <w:rPr>
          <w:rFonts w:ascii="仿宋" w:eastAsia="仿宋" w:hAnsi="仿宋" w:hint="eastAsia"/>
          <w:sz w:val="28"/>
          <w:szCs w:val="28"/>
        </w:rPr>
        <w:t>相关规定，公司股票定于2015年5月4日起继续停牌不超过60日。公司承诺于2015年7月3日前披露符合《公开发行证券的公司信息披露内容与格式准则第26号——上市公司重大资产重组申请文件》要求的重大资产重组预案或报告书，公司股票将在公司董事会审议通过并公告重大资产重组预案或报告书后复牌。</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停牌期间，公司及有关各方积极推动本次重大资产重组的各项工作，严格按照规定及时履行了信息披露义务，每五个交易日发布一次重大资产重组事项的进展情况。2015年2月10日、2月17日、3月3日、3月12日、3月19日、3月26日、4月2日、4月10日、4月17日及4月24日发布了《重大资产重组停牌进展公告》，披露本</w:t>
      </w:r>
      <w:r w:rsidRPr="002E4666">
        <w:rPr>
          <w:rFonts w:ascii="仿宋" w:eastAsia="仿宋" w:hAnsi="仿宋" w:cs="Arial" w:hint="eastAsia"/>
          <w:sz w:val="28"/>
          <w:szCs w:val="28"/>
        </w:rPr>
        <w:lastRenderedPageBreak/>
        <w:t>次重组事项进展情况。</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公司股票停牌之后，即委托中介机构陆续开展尽职调查工作，经论证分析，选择了2015年4月30日作为本次交易的基准日。截至目前，各方启动的主要工作如下：</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1、财务顾问已完成对标的资产的初步尽职调查工作，对标的公司的历史沿革、主营业务及其所属行业的情况、交易对手的基本情况等情况进行了初步梳理及核查；</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2、法律顾问对标的公司的历史沿革、合法合</w:t>
      </w:r>
      <w:proofErr w:type="gramStart"/>
      <w:r w:rsidRPr="002E4666">
        <w:rPr>
          <w:rFonts w:ascii="仿宋" w:eastAsia="仿宋" w:hAnsi="仿宋" w:cs="Arial" w:hint="eastAsia"/>
          <w:sz w:val="28"/>
          <w:szCs w:val="28"/>
        </w:rPr>
        <w:t>规</w:t>
      </w:r>
      <w:proofErr w:type="gramEnd"/>
      <w:r w:rsidRPr="002E4666">
        <w:rPr>
          <w:rFonts w:ascii="仿宋" w:eastAsia="仿宋" w:hAnsi="仿宋" w:cs="Arial" w:hint="eastAsia"/>
          <w:sz w:val="28"/>
          <w:szCs w:val="28"/>
        </w:rPr>
        <w:t>经营情况，交易对手的基本情况进行了初步尽职调查并梳理；</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3、审计机构正在现场开展审计工作，标的公司预审工作正在进行中；</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4、资产评估机构正在进场对标的公司开展资产评估工作，目前，预估值已初步确定；</w:t>
      </w:r>
    </w:p>
    <w:p w:rsidR="002E4666" w:rsidRPr="002E4666" w:rsidRDefault="002E4666" w:rsidP="002E4666">
      <w:pPr>
        <w:spacing w:line="360" w:lineRule="auto"/>
        <w:ind w:firstLine="482"/>
        <w:rPr>
          <w:rFonts w:ascii="仿宋" w:eastAsia="仿宋" w:hAnsi="仿宋" w:cs="Arial"/>
          <w:sz w:val="28"/>
          <w:szCs w:val="28"/>
        </w:rPr>
      </w:pPr>
      <w:r w:rsidRPr="002E4666">
        <w:rPr>
          <w:rFonts w:ascii="仿宋" w:eastAsia="仿宋" w:hAnsi="仿宋" w:cs="Arial" w:hint="eastAsia"/>
          <w:sz w:val="28"/>
          <w:szCs w:val="28"/>
        </w:rPr>
        <w:t>5、交易各方对交易架构已达成初步意向，尚需对一些个别条款根据审计、评估最后结果进一步明确。</w:t>
      </w:r>
    </w:p>
    <w:p w:rsidR="002E4666" w:rsidRPr="002E4666" w:rsidRDefault="002E4666" w:rsidP="002E4666">
      <w:pPr>
        <w:spacing w:line="360" w:lineRule="auto"/>
        <w:ind w:firstLine="482"/>
        <w:rPr>
          <w:rFonts w:ascii="仿宋" w:eastAsia="仿宋" w:hAnsi="仿宋" w:cs="Arial"/>
          <w:b/>
          <w:sz w:val="28"/>
          <w:szCs w:val="28"/>
        </w:rPr>
      </w:pPr>
      <w:r w:rsidRPr="002E4666">
        <w:rPr>
          <w:rFonts w:ascii="仿宋" w:eastAsia="仿宋" w:hAnsi="仿宋" w:cs="Arial" w:hint="eastAsia"/>
          <w:b/>
          <w:sz w:val="28"/>
          <w:szCs w:val="28"/>
        </w:rPr>
        <w:t>二、重大资产重组预案简介</w:t>
      </w:r>
    </w:p>
    <w:p w:rsidR="002E4666" w:rsidRPr="002E4666" w:rsidRDefault="002E4666" w:rsidP="002E4666">
      <w:pPr>
        <w:spacing w:line="360" w:lineRule="auto"/>
        <w:ind w:firstLine="560"/>
        <w:rPr>
          <w:rFonts w:ascii="仿宋" w:eastAsia="仿宋" w:hAnsi="仿宋"/>
          <w:sz w:val="28"/>
          <w:szCs w:val="28"/>
        </w:rPr>
      </w:pPr>
      <w:r w:rsidRPr="002E4666">
        <w:rPr>
          <w:rFonts w:ascii="仿宋" w:eastAsia="仿宋" w:hAnsi="仿宋" w:hint="eastAsia"/>
          <w:sz w:val="28"/>
          <w:szCs w:val="28"/>
        </w:rPr>
        <w:t>1</w:t>
      </w:r>
      <w:r w:rsidR="009B682B">
        <w:rPr>
          <w:rFonts w:ascii="仿宋" w:eastAsia="仿宋" w:hAnsi="仿宋" w:hint="eastAsia"/>
          <w:sz w:val="28"/>
          <w:szCs w:val="28"/>
        </w:rPr>
        <w:t>、</w:t>
      </w:r>
      <w:r w:rsidRPr="002E4666">
        <w:rPr>
          <w:rFonts w:ascii="仿宋" w:eastAsia="仿宋" w:hAnsi="仿宋" w:hint="eastAsia"/>
          <w:sz w:val="28"/>
          <w:szCs w:val="28"/>
        </w:rPr>
        <w:t>交易对方</w:t>
      </w:r>
    </w:p>
    <w:p w:rsidR="002E4666" w:rsidRPr="002E4666" w:rsidRDefault="002E4666" w:rsidP="002E4666">
      <w:pPr>
        <w:spacing w:line="360" w:lineRule="auto"/>
        <w:ind w:firstLine="560"/>
        <w:rPr>
          <w:rFonts w:ascii="仿宋" w:eastAsia="仿宋" w:hAnsi="仿宋"/>
          <w:sz w:val="28"/>
          <w:szCs w:val="28"/>
        </w:rPr>
      </w:pPr>
      <w:r w:rsidRPr="002E4666">
        <w:rPr>
          <w:rFonts w:ascii="仿宋" w:eastAsia="仿宋" w:hAnsi="仿宋" w:hint="eastAsia"/>
          <w:sz w:val="28"/>
          <w:szCs w:val="28"/>
        </w:rPr>
        <w:t>本次重组标的为苏州某科技农业有限公司（以下简称“标的公司”）。标的公司原有业务模式主要是向其他苗木种植商、园林工程企业</w:t>
      </w:r>
      <w:r w:rsidR="007E3BD1">
        <w:rPr>
          <w:rFonts w:ascii="仿宋" w:eastAsia="仿宋" w:hAnsi="仿宋" w:hint="eastAsia"/>
          <w:sz w:val="28"/>
          <w:szCs w:val="28"/>
        </w:rPr>
        <w:t>等</w:t>
      </w:r>
      <w:r w:rsidRPr="002E4666">
        <w:rPr>
          <w:rFonts w:ascii="仿宋" w:eastAsia="仿宋" w:hAnsi="仿宋" w:hint="eastAsia"/>
          <w:sz w:val="28"/>
          <w:szCs w:val="28"/>
        </w:rPr>
        <w:t>客户销售彩色苗木。鉴于未来供求结构变化可能对公司经营的影响，标的公司</w:t>
      </w:r>
      <w:r w:rsidR="007E3BD1">
        <w:rPr>
          <w:rFonts w:ascii="仿宋" w:eastAsia="仿宋" w:hAnsi="仿宋" w:hint="eastAsia"/>
          <w:sz w:val="28"/>
          <w:szCs w:val="28"/>
        </w:rPr>
        <w:t>的主营业务</w:t>
      </w:r>
      <w:r w:rsidRPr="002E4666">
        <w:rPr>
          <w:rFonts w:ascii="仿宋" w:eastAsia="仿宋" w:hAnsi="仿宋" w:hint="eastAsia"/>
          <w:sz w:val="28"/>
          <w:szCs w:val="28"/>
        </w:rPr>
        <w:t>转为四季彩色生态观光园的建设、经营和开发，打造集观光旅游、休闲度假、休闲购物、养生养老等多功能的彩</w:t>
      </w:r>
      <w:r w:rsidR="007E3BD1">
        <w:rPr>
          <w:rFonts w:ascii="仿宋" w:eastAsia="仿宋" w:hAnsi="仿宋" w:hint="eastAsia"/>
          <w:sz w:val="28"/>
          <w:szCs w:val="28"/>
        </w:rPr>
        <w:t>色生态园区</w:t>
      </w:r>
      <w:r w:rsidRPr="002E4666">
        <w:rPr>
          <w:rFonts w:ascii="仿宋" w:eastAsia="仿宋" w:hAnsi="仿宋" w:hint="eastAsia"/>
          <w:sz w:val="28"/>
          <w:szCs w:val="28"/>
        </w:rPr>
        <w:t>。</w:t>
      </w:r>
    </w:p>
    <w:p w:rsidR="002E4666" w:rsidRPr="002E4666" w:rsidRDefault="002E4666" w:rsidP="002E4666">
      <w:pPr>
        <w:spacing w:line="360" w:lineRule="auto"/>
        <w:ind w:firstLine="560"/>
        <w:rPr>
          <w:rFonts w:ascii="仿宋" w:eastAsia="仿宋" w:hAnsi="仿宋"/>
          <w:sz w:val="28"/>
          <w:szCs w:val="28"/>
        </w:rPr>
      </w:pPr>
      <w:r w:rsidRPr="002E4666">
        <w:rPr>
          <w:rFonts w:ascii="仿宋" w:eastAsia="仿宋" w:hAnsi="仿宋" w:hint="eastAsia"/>
          <w:sz w:val="28"/>
          <w:szCs w:val="28"/>
        </w:rPr>
        <w:t>2</w:t>
      </w:r>
      <w:r w:rsidR="009B682B">
        <w:rPr>
          <w:rFonts w:ascii="仿宋" w:eastAsia="仿宋" w:hAnsi="仿宋" w:hint="eastAsia"/>
          <w:sz w:val="28"/>
          <w:szCs w:val="28"/>
        </w:rPr>
        <w:t>、</w:t>
      </w:r>
      <w:r w:rsidR="004A7290">
        <w:rPr>
          <w:rFonts w:ascii="仿宋" w:eastAsia="仿宋" w:hAnsi="仿宋" w:hint="eastAsia"/>
          <w:sz w:val="28"/>
          <w:szCs w:val="28"/>
        </w:rPr>
        <w:t>拟</w:t>
      </w:r>
      <w:r w:rsidRPr="002E4666">
        <w:rPr>
          <w:rFonts w:ascii="仿宋" w:eastAsia="仿宋" w:hAnsi="仿宋" w:hint="eastAsia"/>
          <w:sz w:val="28"/>
          <w:szCs w:val="28"/>
        </w:rPr>
        <w:t>筹划的重大资产重组基本</w:t>
      </w:r>
      <w:r w:rsidR="00A1305E">
        <w:rPr>
          <w:rFonts w:ascii="仿宋" w:eastAsia="仿宋" w:hAnsi="仿宋" w:hint="eastAsia"/>
          <w:sz w:val="28"/>
          <w:szCs w:val="28"/>
        </w:rPr>
        <w:t>方案</w:t>
      </w:r>
    </w:p>
    <w:p w:rsidR="002E4666" w:rsidRPr="002E4666" w:rsidRDefault="002E4666" w:rsidP="002E4666">
      <w:pPr>
        <w:spacing w:line="360" w:lineRule="auto"/>
        <w:ind w:firstLine="560"/>
        <w:rPr>
          <w:rFonts w:ascii="仿宋" w:eastAsia="仿宋" w:hAnsi="仿宋"/>
          <w:sz w:val="28"/>
          <w:szCs w:val="28"/>
        </w:rPr>
      </w:pPr>
      <w:r w:rsidRPr="002E4666">
        <w:rPr>
          <w:rFonts w:ascii="仿宋" w:eastAsia="仿宋" w:hAnsi="仿宋" w:hint="eastAsia"/>
          <w:sz w:val="28"/>
          <w:szCs w:val="28"/>
        </w:rPr>
        <w:t>公司拟以发行股份及支付现金方式购买标的公司100%股权，并募集配套资金。</w:t>
      </w:r>
    </w:p>
    <w:p w:rsidR="002E4666" w:rsidRPr="002E4666" w:rsidRDefault="002E4666" w:rsidP="002E4666">
      <w:pPr>
        <w:spacing w:line="360" w:lineRule="auto"/>
        <w:ind w:firstLine="482"/>
        <w:rPr>
          <w:rFonts w:ascii="仿宋" w:eastAsia="仿宋" w:hAnsi="仿宋" w:cs="Arial"/>
          <w:b/>
          <w:sz w:val="28"/>
          <w:szCs w:val="28"/>
        </w:rPr>
      </w:pPr>
      <w:r w:rsidRPr="002E4666">
        <w:rPr>
          <w:rFonts w:ascii="仿宋" w:eastAsia="仿宋" w:hAnsi="仿宋" w:cs="Arial" w:hint="eastAsia"/>
          <w:b/>
          <w:sz w:val="28"/>
          <w:szCs w:val="28"/>
        </w:rPr>
        <w:t>三、申请延期复牌的原因</w:t>
      </w:r>
    </w:p>
    <w:p w:rsidR="002E4666" w:rsidRPr="002E4666" w:rsidRDefault="002E4666" w:rsidP="002E4666">
      <w:pPr>
        <w:spacing w:line="360" w:lineRule="auto"/>
        <w:ind w:firstLineChars="200" w:firstLine="560"/>
        <w:rPr>
          <w:rFonts w:ascii="仿宋" w:eastAsia="仿宋" w:hAnsi="仿宋"/>
          <w:sz w:val="28"/>
          <w:szCs w:val="28"/>
        </w:rPr>
      </w:pPr>
      <w:r w:rsidRPr="002E4666">
        <w:rPr>
          <w:rFonts w:ascii="仿宋" w:eastAsia="仿宋" w:hAnsi="仿宋" w:hint="eastAsia"/>
          <w:sz w:val="28"/>
          <w:szCs w:val="28"/>
        </w:rPr>
        <w:t>由于本次资产重组内容复杂，审计、评估等工作量较大，初步方案涉及的相关问题仍需进一步商讨、论证和完善。同时，标的公司股东之一为外资企业，为符合上市公司重大资产重组相关法律法规规定，需对标的公司现有股权结构进行调整，同时外资企业在审批流程较一般内资公司更为复杂，周期更长。因此，公司无法按原计划在2014年5月4日前</w:t>
      </w:r>
      <w:proofErr w:type="gramStart"/>
      <w:r w:rsidRPr="002E4666">
        <w:rPr>
          <w:rFonts w:ascii="仿宋" w:eastAsia="仿宋" w:hAnsi="仿宋" w:hint="eastAsia"/>
          <w:sz w:val="28"/>
          <w:szCs w:val="28"/>
        </w:rPr>
        <w:t>作出</w:t>
      </w:r>
      <w:proofErr w:type="gramEnd"/>
      <w:r w:rsidRPr="002E4666">
        <w:rPr>
          <w:rFonts w:ascii="仿宋" w:eastAsia="仿宋" w:hAnsi="仿宋" w:hint="eastAsia"/>
          <w:sz w:val="28"/>
          <w:szCs w:val="28"/>
        </w:rPr>
        <w:t>相应披露并复牌。</w:t>
      </w:r>
    </w:p>
    <w:p w:rsidR="002E4666" w:rsidRPr="002E4666" w:rsidRDefault="002E4666" w:rsidP="002E4666">
      <w:pPr>
        <w:spacing w:line="360" w:lineRule="auto"/>
        <w:ind w:firstLineChars="200" w:firstLine="560"/>
        <w:rPr>
          <w:rFonts w:ascii="仿宋" w:eastAsia="仿宋" w:hAnsi="仿宋" w:cs="Arial"/>
          <w:sz w:val="28"/>
          <w:szCs w:val="28"/>
        </w:rPr>
      </w:pPr>
      <w:r w:rsidRPr="002E4666">
        <w:rPr>
          <w:rFonts w:ascii="仿宋" w:eastAsia="仿宋" w:hAnsi="仿宋" w:hint="eastAsia"/>
          <w:sz w:val="28"/>
          <w:szCs w:val="28"/>
        </w:rPr>
        <w:t>为审慎做出重大资产重组决策，秉承为投资者负责的态度，公司及相关各方正在积极推进本次重大资产重组事项的相关工作，努力消除不确定因素可能带来的负面影响。经慎重研究，公司董事会特向深交所申请延期复牌，延期时间不超过60日，即公司承诺最迟复牌时间不超过2015年7月3日。</w:t>
      </w:r>
    </w:p>
    <w:p w:rsidR="002E4666" w:rsidRPr="002E4666" w:rsidRDefault="002E4666" w:rsidP="002E4666">
      <w:pPr>
        <w:spacing w:line="360" w:lineRule="auto"/>
        <w:ind w:firstLineChars="200" w:firstLine="562"/>
        <w:rPr>
          <w:rFonts w:ascii="仿宋" w:eastAsia="仿宋" w:hAnsi="仿宋" w:cs="Arial"/>
          <w:b/>
          <w:sz w:val="28"/>
          <w:szCs w:val="28"/>
        </w:rPr>
      </w:pPr>
      <w:r w:rsidRPr="002E4666">
        <w:rPr>
          <w:rFonts w:ascii="仿宋" w:eastAsia="仿宋" w:hAnsi="仿宋" w:cs="Arial" w:hint="eastAsia"/>
          <w:b/>
          <w:sz w:val="28"/>
          <w:szCs w:val="28"/>
        </w:rPr>
        <w:t>四、后续时间安排</w:t>
      </w:r>
    </w:p>
    <w:p w:rsidR="002E4666" w:rsidRPr="002E4666" w:rsidRDefault="002E4666" w:rsidP="002E4666">
      <w:pPr>
        <w:spacing w:line="360" w:lineRule="auto"/>
        <w:ind w:firstLineChars="200" w:firstLine="560"/>
        <w:rPr>
          <w:rFonts w:ascii="仿宋" w:eastAsia="仿宋" w:hAnsi="仿宋"/>
          <w:sz w:val="28"/>
          <w:szCs w:val="28"/>
        </w:rPr>
      </w:pPr>
      <w:r w:rsidRPr="002E4666">
        <w:rPr>
          <w:rFonts w:ascii="仿宋" w:eastAsia="仿宋" w:hAnsi="仿宋" w:hint="eastAsia"/>
          <w:sz w:val="28"/>
          <w:szCs w:val="28"/>
        </w:rPr>
        <w:t>公司股票继续停牌期间，公司及有关各方将继续全力推进本次重大资产重组的各项工作。</w:t>
      </w:r>
    </w:p>
    <w:p w:rsidR="002E4666" w:rsidRPr="002E4666" w:rsidRDefault="002E4666" w:rsidP="002E4666">
      <w:pPr>
        <w:spacing w:line="360" w:lineRule="auto"/>
        <w:ind w:firstLineChars="200" w:firstLine="560"/>
        <w:rPr>
          <w:rFonts w:ascii="仿宋" w:eastAsia="仿宋" w:hAnsi="仿宋"/>
          <w:sz w:val="28"/>
          <w:szCs w:val="28"/>
        </w:rPr>
      </w:pPr>
      <w:r w:rsidRPr="002E4666">
        <w:rPr>
          <w:rFonts w:ascii="仿宋" w:eastAsia="仿宋" w:hAnsi="仿宋" w:hint="eastAsia"/>
          <w:sz w:val="28"/>
          <w:szCs w:val="28"/>
        </w:rPr>
        <w:t>本次重组时间安排如下：</w:t>
      </w:r>
    </w:p>
    <w:tbl>
      <w:tblPr>
        <w:tblStyle w:val="a9"/>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816"/>
        <w:gridCol w:w="5529"/>
        <w:gridCol w:w="2177"/>
      </w:tblGrid>
      <w:tr w:rsidR="002E4666" w:rsidRPr="002E4666" w:rsidTr="00727212">
        <w:trPr>
          <w:trHeight w:val="340"/>
        </w:trPr>
        <w:tc>
          <w:tcPr>
            <w:tcW w:w="479" w:type="pct"/>
            <w:hideMark/>
          </w:tcPr>
          <w:p w:rsidR="002E4666" w:rsidRPr="002E4666" w:rsidRDefault="002E4666" w:rsidP="00727212">
            <w:pPr>
              <w:jc w:val="center"/>
              <w:rPr>
                <w:rFonts w:ascii="仿宋" w:eastAsia="仿宋" w:hAnsi="仿宋" w:cs="Arial"/>
                <w:b/>
                <w:sz w:val="24"/>
                <w:szCs w:val="28"/>
              </w:rPr>
            </w:pPr>
            <w:r w:rsidRPr="002E4666">
              <w:rPr>
                <w:rFonts w:ascii="仿宋" w:eastAsia="仿宋" w:hAnsi="仿宋" w:cs="宋体" w:hint="eastAsia"/>
                <w:b/>
                <w:sz w:val="24"/>
                <w:szCs w:val="28"/>
              </w:rPr>
              <w:t>项</w:t>
            </w:r>
            <w:r w:rsidRPr="002E4666">
              <w:rPr>
                <w:rFonts w:ascii="仿宋" w:eastAsia="仿宋" w:hAnsi="仿宋" w:cs="Arial" w:hint="eastAsia"/>
                <w:b/>
                <w:sz w:val="24"/>
                <w:szCs w:val="28"/>
              </w:rPr>
              <w:t>目</w:t>
            </w:r>
          </w:p>
        </w:tc>
        <w:tc>
          <w:tcPr>
            <w:tcW w:w="3243" w:type="pct"/>
            <w:hideMark/>
          </w:tcPr>
          <w:p w:rsidR="002E4666" w:rsidRPr="002E4666" w:rsidRDefault="002E4666" w:rsidP="00727212">
            <w:pPr>
              <w:jc w:val="center"/>
              <w:rPr>
                <w:rFonts w:ascii="仿宋" w:eastAsia="仿宋" w:hAnsi="仿宋" w:cs="Arial"/>
                <w:b/>
                <w:sz w:val="24"/>
                <w:szCs w:val="28"/>
              </w:rPr>
            </w:pPr>
            <w:r w:rsidRPr="002E4666">
              <w:rPr>
                <w:rFonts w:ascii="仿宋" w:eastAsia="仿宋" w:hAnsi="仿宋" w:cs="宋体" w:hint="eastAsia"/>
                <w:b/>
                <w:sz w:val="24"/>
                <w:szCs w:val="28"/>
              </w:rPr>
              <w:t>工作内</w:t>
            </w:r>
            <w:r w:rsidRPr="002E4666">
              <w:rPr>
                <w:rFonts w:ascii="仿宋" w:eastAsia="仿宋" w:hAnsi="仿宋" w:cs="Arial" w:hint="eastAsia"/>
                <w:b/>
                <w:sz w:val="24"/>
                <w:szCs w:val="28"/>
              </w:rPr>
              <w:t>容</w:t>
            </w:r>
          </w:p>
        </w:tc>
        <w:tc>
          <w:tcPr>
            <w:tcW w:w="1277" w:type="pct"/>
            <w:hideMark/>
          </w:tcPr>
          <w:p w:rsidR="002E4666" w:rsidRPr="002E4666" w:rsidRDefault="002E4666" w:rsidP="00727212">
            <w:pPr>
              <w:jc w:val="center"/>
              <w:rPr>
                <w:rFonts w:ascii="仿宋" w:eastAsia="仿宋" w:hAnsi="仿宋" w:cs="Arial"/>
                <w:b/>
                <w:sz w:val="24"/>
                <w:szCs w:val="28"/>
              </w:rPr>
            </w:pPr>
            <w:r w:rsidRPr="002E4666">
              <w:rPr>
                <w:rFonts w:ascii="仿宋" w:eastAsia="仿宋" w:hAnsi="仿宋" w:cs="宋体" w:hint="eastAsia"/>
                <w:b/>
                <w:sz w:val="24"/>
                <w:szCs w:val="28"/>
              </w:rPr>
              <w:t>完成时</w:t>
            </w:r>
            <w:r w:rsidRPr="002E4666">
              <w:rPr>
                <w:rFonts w:ascii="仿宋" w:eastAsia="仿宋" w:hAnsi="仿宋" w:cs="Arial" w:hint="eastAsia"/>
                <w:b/>
                <w:sz w:val="24"/>
                <w:szCs w:val="28"/>
              </w:rPr>
              <w:t>间</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sz w:val="24"/>
                <w:szCs w:val="28"/>
              </w:rPr>
              <w:t>1</w:t>
            </w:r>
          </w:p>
        </w:tc>
        <w:tc>
          <w:tcPr>
            <w:tcW w:w="3243" w:type="pct"/>
            <w:vAlign w:val="center"/>
            <w:hideMark/>
          </w:tcPr>
          <w:p w:rsidR="002E4666" w:rsidRPr="002E4666" w:rsidRDefault="002E4666" w:rsidP="00727212">
            <w:pPr>
              <w:rPr>
                <w:rFonts w:ascii="仿宋" w:eastAsia="仿宋" w:hAnsi="仿宋"/>
                <w:sz w:val="24"/>
                <w:szCs w:val="28"/>
              </w:rPr>
            </w:pPr>
            <w:r w:rsidRPr="002E4666">
              <w:rPr>
                <w:rFonts w:ascii="仿宋" w:eastAsia="仿宋" w:hAnsi="仿宋" w:cs="宋体" w:hint="eastAsia"/>
                <w:sz w:val="24"/>
                <w:szCs w:val="28"/>
              </w:rPr>
              <w:t>审计机构完成标的公司两年一期初审工作</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5</w:t>
            </w:r>
            <w:r w:rsidRPr="002E4666">
              <w:rPr>
                <w:rFonts w:ascii="仿宋" w:eastAsia="仿宋" w:hAnsi="仿宋" w:cs="宋体" w:hint="eastAsia"/>
                <w:sz w:val="24"/>
                <w:szCs w:val="28"/>
              </w:rPr>
              <w:t>月</w:t>
            </w:r>
            <w:r w:rsidRPr="002E4666">
              <w:rPr>
                <w:rFonts w:ascii="仿宋" w:eastAsia="仿宋" w:hAnsi="仿宋" w:cs="Arial" w:hint="eastAsia"/>
                <w:sz w:val="24"/>
                <w:szCs w:val="28"/>
              </w:rPr>
              <w:t>20日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sz w:val="24"/>
                <w:szCs w:val="28"/>
              </w:rPr>
              <w:t>2</w:t>
            </w:r>
          </w:p>
        </w:tc>
        <w:tc>
          <w:tcPr>
            <w:tcW w:w="3243" w:type="pct"/>
            <w:vAlign w:val="center"/>
            <w:hideMark/>
          </w:tcPr>
          <w:p w:rsidR="002E4666" w:rsidRPr="002E4666" w:rsidRDefault="002E4666" w:rsidP="00727212">
            <w:pPr>
              <w:rPr>
                <w:rFonts w:ascii="仿宋" w:eastAsia="仿宋" w:hAnsi="仿宋"/>
                <w:sz w:val="24"/>
                <w:szCs w:val="28"/>
              </w:rPr>
            </w:pPr>
            <w:r w:rsidRPr="002E4666">
              <w:rPr>
                <w:rFonts w:ascii="仿宋" w:eastAsia="仿宋" w:hAnsi="仿宋" w:cs="宋体" w:hint="eastAsia"/>
                <w:sz w:val="24"/>
                <w:szCs w:val="28"/>
              </w:rPr>
              <w:t>评估机构完成标的公司预估工作</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5</w:t>
            </w:r>
            <w:r w:rsidRPr="002E4666">
              <w:rPr>
                <w:rFonts w:ascii="仿宋" w:eastAsia="仿宋" w:hAnsi="仿宋" w:cs="宋体" w:hint="eastAsia"/>
                <w:sz w:val="24"/>
                <w:szCs w:val="28"/>
              </w:rPr>
              <w:t>月</w:t>
            </w:r>
            <w:r w:rsidRPr="002E4666">
              <w:rPr>
                <w:rFonts w:ascii="仿宋" w:eastAsia="仿宋" w:hAnsi="仿宋" w:cs="Arial" w:hint="eastAsia"/>
                <w:sz w:val="24"/>
                <w:szCs w:val="28"/>
              </w:rPr>
              <w:t>25日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3</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标的公司完成尽职调查过程中全部问题点的整改工</w:t>
            </w:r>
            <w:r w:rsidRPr="002E4666">
              <w:rPr>
                <w:rFonts w:ascii="仿宋" w:eastAsia="仿宋" w:hAnsi="仿宋" w:cs="Arial" w:hint="eastAsia"/>
                <w:sz w:val="24"/>
                <w:szCs w:val="28"/>
              </w:rPr>
              <w:t>作</w:t>
            </w:r>
          </w:p>
        </w:tc>
        <w:tc>
          <w:tcPr>
            <w:tcW w:w="1277" w:type="pct"/>
            <w:vAlign w:val="center"/>
            <w:hideMark/>
          </w:tcPr>
          <w:p w:rsidR="002E4666" w:rsidRPr="002E4666" w:rsidRDefault="002E4666" w:rsidP="001A27B6">
            <w:pPr>
              <w:rPr>
                <w:rFonts w:ascii="仿宋" w:eastAsia="仿宋" w:hAnsi="仿宋" w:cs="Arial"/>
                <w:sz w:val="24"/>
                <w:szCs w:val="28"/>
              </w:rPr>
            </w:pPr>
            <w:r w:rsidRPr="002E4666">
              <w:rPr>
                <w:rFonts w:ascii="仿宋" w:eastAsia="仿宋" w:hAnsi="仿宋" w:cs="Arial"/>
                <w:sz w:val="24"/>
                <w:szCs w:val="28"/>
              </w:rPr>
              <w:t>201</w:t>
            </w:r>
            <w:r w:rsidR="001A27B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6</w:t>
            </w:r>
            <w:r w:rsidRPr="002E4666">
              <w:rPr>
                <w:rFonts w:ascii="仿宋" w:eastAsia="仿宋" w:hAnsi="仿宋" w:cs="宋体" w:hint="eastAsia"/>
                <w:sz w:val="24"/>
                <w:szCs w:val="28"/>
              </w:rPr>
              <w:t>月</w:t>
            </w:r>
            <w:r w:rsidRPr="002E4666">
              <w:rPr>
                <w:rFonts w:ascii="仿宋" w:eastAsia="仿宋" w:hAnsi="仿宋" w:cs="Arial" w:hint="eastAsia"/>
                <w:sz w:val="24"/>
                <w:szCs w:val="28"/>
              </w:rPr>
              <w:t>10日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4</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独立财务顾问出具核查意见</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6</w:t>
            </w:r>
            <w:r w:rsidRPr="002E4666">
              <w:rPr>
                <w:rFonts w:ascii="仿宋" w:eastAsia="仿宋" w:hAnsi="仿宋" w:cs="宋体" w:hint="eastAsia"/>
                <w:sz w:val="24"/>
                <w:szCs w:val="28"/>
              </w:rPr>
              <w:t>月</w:t>
            </w:r>
            <w:r w:rsidRPr="002E4666">
              <w:rPr>
                <w:rFonts w:ascii="仿宋" w:eastAsia="仿宋" w:hAnsi="仿宋" w:cs="Arial" w:hint="eastAsia"/>
                <w:sz w:val="24"/>
                <w:szCs w:val="28"/>
              </w:rPr>
              <w:t>16日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5</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完成本次重大资产重组预案及报送深交所的全套文</w:t>
            </w:r>
            <w:r w:rsidRPr="002E4666">
              <w:rPr>
                <w:rFonts w:ascii="仿宋" w:eastAsia="仿宋" w:hAnsi="仿宋" w:cs="Arial" w:hint="eastAsia"/>
                <w:sz w:val="24"/>
                <w:szCs w:val="28"/>
              </w:rPr>
              <w:t>件</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6</w:t>
            </w:r>
            <w:r w:rsidRPr="002E4666">
              <w:rPr>
                <w:rFonts w:ascii="仿宋" w:eastAsia="仿宋" w:hAnsi="仿宋" w:cs="宋体" w:hint="eastAsia"/>
                <w:sz w:val="24"/>
                <w:szCs w:val="28"/>
              </w:rPr>
              <w:t>月</w:t>
            </w:r>
            <w:r w:rsidRPr="002E4666">
              <w:rPr>
                <w:rFonts w:ascii="仿宋" w:eastAsia="仿宋" w:hAnsi="仿宋" w:cs="Arial" w:hint="eastAsia"/>
                <w:sz w:val="24"/>
                <w:szCs w:val="28"/>
              </w:rPr>
              <w:t>19日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6</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向深交所报送本次重大资产重组的全套文件及复牌公</w:t>
            </w:r>
            <w:r w:rsidRPr="002E4666">
              <w:rPr>
                <w:rFonts w:ascii="仿宋" w:eastAsia="仿宋" w:hAnsi="仿宋" w:cs="Arial" w:hint="eastAsia"/>
                <w:sz w:val="24"/>
                <w:szCs w:val="28"/>
              </w:rPr>
              <w:t>告</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6</w:t>
            </w:r>
            <w:r w:rsidRPr="002E4666">
              <w:rPr>
                <w:rFonts w:ascii="仿宋" w:eastAsia="仿宋" w:hAnsi="仿宋" w:cs="宋体" w:hint="eastAsia"/>
                <w:sz w:val="24"/>
                <w:szCs w:val="28"/>
              </w:rPr>
              <w:t>月</w:t>
            </w:r>
            <w:r w:rsidRPr="002E4666">
              <w:rPr>
                <w:rFonts w:ascii="仿宋" w:eastAsia="仿宋" w:hAnsi="仿宋" w:cs="Arial" w:hint="eastAsia"/>
                <w:sz w:val="24"/>
                <w:szCs w:val="28"/>
              </w:rPr>
              <w:t>22日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7</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完成深交所就公司重大资产重组的全部反馈意</w:t>
            </w:r>
            <w:r w:rsidRPr="002E4666">
              <w:rPr>
                <w:rFonts w:ascii="仿宋" w:eastAsia="仿宋" w:hAnsi="仿宋" w:cs="Arial" w:hint="eastAsia"/>
                <w:sz w:val="24"/>
                <w:szCs w:val="28"/>
              </w:rPr>
              <w:t>见</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6</w:t>
            </w:r>
            <w:r w:rsidRPr="002E4666">
              <w:rPr>
                <w:rFonts w:ascii="仿宋" w:eastAsia="仿宋" w:hAnsi="仿宋" w:cs="宋体" w:hint="eastAsia"/>
                <w:sz w:val="24"/>
                <w:szCs w:val="28"/>
              </w:rPr>
              <w:t>月2</w:t>
            </w:r>
            <w:r w:rsidRPr="002E4666">
              <w:rPr>
                <w:rFonts w:ascii="仿宋" w:eastAsia="仿宋" w:hAnsi="仿宋" w:cs="Arial"/>
                <w:sz w:val="24"/>
                <w:szCs w:val="28"/>
              </w:rPr>
              <w:t>9</w:t>
            </w:r>
            <w:r w:rsidRPr="002E4666">
              <w:rPr>
                <w:rFonts w:ascii="仿宋" w:eastAsia="仿宋" w:hAnsi="仿宋" w:cs="Arial" w:hint="eastAsia"/>
                <w:sz w:val="24"/>
                <w:szCs w:val="28"/>
              </w:rPr>
              <w:t>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8</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召开董监事会审议本次重大资产重组的相关议</w:t>
            </w:r>
            <w:r w:rsidRPr="002E4666">
              <w:rPr>
                <w:rFonts w:ascii="仿宋" w:eastAsia="仿宋" w:hAnsi="仿宋" w:cs="Arial" w:hint="eastAsia"/>
                <w:sz w:val="24"/>
                <w:szCs w:val="28"/>
              </w:rPr>
              <w:t>案</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7</w:t>
            </w:r>
            <w:r w:rsidRPr="002E4666">
              <w:rPr>
                <w:rFonts w:ascii="仿宋" w:eastAsia="仿宋" w:hAnsi="仿宋" w:cs="宋体" w:hint="eastAsia"/>
                <w:sz w:val="24"/>
                <w:szCs w:val="28"/>
              </w:rPr>
              <w:t>月</w:t>
            </w:r>
            <w:r w:rsidRPr="002E4666">
              <w:rPr>
                <w:rFonts w:ascii="仿宋" w:eastAsia="仿宋" w:hAnsi="仿宋" w:cs="Arial" w:hint="eastAsia"/>
                <w:sz w:val="24"/>
                <w:szCs w:val="28"/>
              </w:rPr>
              <w:t>1日</w:t>
            </w:r>
          </w:p>
        </w:tc>
      </w:tr>
      <w:tr w:rsidR="002E4666" w:rsidRPr="002E4666" w:rsidTr="00727212">
        <w:trPr>
          <w:trHeight w:val="340"/>
        </w:trPr>
        <w:tc>
          <w:tcPr>
            <w:tcW w:w="479" w:type="pct"/>
            <w:vAlign w:val="center"/>
            <w:hideMark/>
          </w:tcPr>
          <w:p w:rsidR="002E4666" w:rsidRPr="002E4666" w:rsidRDefault="002E4666" w:rsidP="00727212">
            <w:pPr>
              <w:jc w:val="center"/>
              <w:rPr>
                <w:rFonts w:ascii="仿宋" w:eastAsia="仿宋" w:hAnsi="仿宋" w:cs="Arial"/>
                <w:sz w:val="24"/>
                <w:szCs w:val="28"/>
              </w:rPr>
            </w:pPr>
            <w:r w:rsidRPr="002E4666">
              <w:rPr>
                <w:rFonts w:ascii="仿宋" w:eastAsia="仿宋" w:hAnsi="仿宋" w:cs="Arial" w:hint="eastAsia"/>
                <w:sz w:val="24"/>
                <w:szCs w:val="28"/>
              </w:rPr>
              <w:t>9</w:t>
            </w:r>
          </w:p>
        </w:tc>
        <w:tc>
          <w:tcPr>
            <w:tcW w:w="3243"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宋体" w:hint="eastAsia"/>
                <w:sz w:val="24"/>
                <w:szCs w:val="28"/>
              </w:rPr>
              <w:t>对外披露本次重大资产重组预案及复牌公</w:t>
            </w:r>
            <w:r w:rsidRPr="002E4666">
              <w:rPr>
                <w:rFonts w:ascii="仿宋" w:eastAsia="仿宋" w:hAnsi="仿宋" w:cs="Arial" w:hint="eastAsia"/>
                <w:sz w:val="24"/>
                <w:szCs w:val="28"/>
              </w:rPr>
              <w:t>告</w:t>
            </w:r>
          </w:p>
        </w:tc>
        <w:tc>
          <w:tcPr>
            <w:tcW w:w="1277" w:type="pct"/>
            <w:vAlign w:val="center"/>
            <w:hideMark/>
          </w:tcPr>
          <w:p w:rsidR="002E4666" w:rsidRPr="002E4666" w:rsidRDefault="002E4666" w:rsidP="00727212">
            <w:pPr>
              <w:rPr>
                <w:rFonts w:ascii="仿宋" w:eastAsia="仿宋" w:hAnsi="仿宋" w:cs="Arial"/>
                <w:sz w:val="24"/>
                <w:szCs w:val="28"/>
              </w:rPr>
            </w:pPr>
            <w:r w:rsidRPr="002E4666">
              <w:rPr>
                <w:rFonts w:ascii="仿宋" w:eastAsia="仿宋" w:hAnsi="仿宋" w:cs="Arial"/>
                <w:sz w:val="24"/>
                <w:szCs w:val="28"/>
              </w:rPr>
              <w:t>201</w:t>
            </w:r>
            <w:r w:rsidRPr="002E4666">
              <w:rPr>
                <w:rFonts w:ascii="仿宋" w:eastAsia="仿宋" w:hAnsi="仿宋" w:cs="Arial" w:hint="eastAsia"/>
                <w:sz w:val="24"/>
                <w:szCs w:val="28"/>
              </w:rPr>
              <w:t>5</w:t>
            </w:r>
            <w:r w:rsidRPr="002E4666">
              <w:rPr>
                <w:rFonts w:ascii="仿宋" w:eastAsia="仿宋" w:hAnsi="仿宋" w:cs="宋体" w:hint="eastAsia"/>
                <w:sz w:val="24"/>
                <w:szCs w:val="28"/>
              </w:rPr>
              <w:t>年</w:t>
            </w:r>
            <w:r w:rsidRPr="002E4666">
              <w:rPr>
                <w:rFonts w:ascii="仿宋" w:eastAsia="仿宋" w:hAnsi="仿宋" w:cs="Arial" w:hint="eastAsia"/>
                <w:sz w:val="24"/>
                <w:szCs w:val="28"/>
              </w:rPr>
              <w:t>7</w:t>
            </w:r>
            <w:r w:rsidRPr="002E4666">
              <w:rPr>
                <w:rFonts w:ascii="仿宋" w:eastAsia="仿宋" w:hAnsi="仿宋" w:cs="宋体" w:hint="eastAsia"/>
                <w:sz w:val="24"/>
                <w:szCs w:val="28"/>
              </w:rPr>
              <w:t>月</w:t>
            </w:r>
            <w:r w:rsidRPr="002E4666">
              <w:rPr>
                <w:rFonts w:ascii="仿宋" w:eastAsia="仿宋" w:hAnsi="仿宋" w:cs="Arial" w:hint="eastAsia"/>
                <w:sz w:val="24"/>
                <w:szCs w:val="28"/>
              </w:rPr>
              <w:t>3日</w:t>
            </w:r>
          </w:p>
        </w:tc>
      </w:tr>
    </w:tbl>
    <w:p w:rsidR="002E4666" w:rsidRPr="002E4666" w:rsidRDefault="002E4666" w:rsidP="002E4666">
      <w:pPr>
        <w:spacing w:line="360" w:lineRule="auto"/>
        <w:ind w:firstLineChars="200" w:firstLine="560"/>
        <w:rPr>
          <w:rFonts w:ascii="仿宋" w:eastAsia="仿宋" w:hAnsi="仿宋"/>
          <w:sz w:val="28"/>
          <w:szCs w:val="28"/>
        </w:rPr>
      </w:pPr>
      <w:r w:rsidRPr="002E4666">
        <w:rPr>
          <w:rFonts w:ascii="仿宋" w:eastAsia="仿宋" w:hAnsi="仿宋" w:hint="eastAsia"/>
          <w:sz w:val="28"/>
          <w:szCs w:val="28"/>
        </w:rPr>
        <w:t>如公司未能在上述期限内披露重大资产重组预案或报告书，公司将根据重组推进情况确定是否申请延期复牌，公司未提出延期复牌申请或延期复牌申请未获同意的，公司承诺自股票复牌之日起六个月内不再筹划重大资产重组事项。如公司在停牌期限内终止筹划本次重大资产重组的，公司将及时披露终止筹划重大资产重组公告，并承诺自复牌之日起六个月内不再筹划重大资产重组事项，公司股票将在公司披露终止筹划重大资产重组相关公告后恢复交易。</w:t>
      </w:r>
    </w:p>
    <w:p w:rsidR="002E4666" w:rsidRPr="002E4666" w:rsidRDefault="002E4666" w:rsidP="002E4666">
      <w:pPr>
        <w:spacing w:line="360" w:lineRule="auto"/>
        <w:ind w:firstLineChars="200" w:firstLine="560"/>
        <w:rPr>
          <w:rFonts w:ascii="仿宋" w:eastAsia="仿宋" w:hAnsi="仿宋"/>
          <w:b/>
          <w:sz w:val="28"/>
          <w:szCs w:val="28"/>
        </w:rPr>
      </w:pPr>
      <w:r w:rsidRPr="002E4666">
        <w:rPr>
          <w:rFonts w:ascii="仿宋" w:eastAsia="仿宋" w:hAnsi="仿宋" w:hint="eastAsia"/>
          <w:sz w:val="28"/>
          <w:szCs w:val="28"/>
        </w:rPr>
        <w:t>公司将按照相关规定，积极推进各项工作，履行必要的报批和审议程序。停牌期间，公司将根据相关事项进展情况及时履行信息披露义务，至少每5个交易日发布一次重大资产重组进展公告。</w:t>
      </w:r>
    </w:p>
    <w:p w:rsidR="00C91E32" w:rsidRPr="002E4666" w:rsidRDefault="00C91E32" w:rsidP="002E4666">
      <w:pPr>
        <w:spacing w:line="360" w:lineRule="auto"/>
        <w:ind w:firstLineChars="200" w:firstLine="560"/>
        <w:rPr>
          <w:rFonts w:ascii="仿宋" w:eastAsia="仿宋" w:hAnsi="仿宋" w:cs="仿宋"/>
          <w:sz w:val="28"/>
          <w:szCs w:val="28"/>
        </w:rPr>
      </w:pPr>
      <w:r w:rsidRPr="002E4666">
        <w:rPr>
          <w:rFonts w:ascii="仿宋" w:eastAsia="仿宋" w:hAnsi="仿宋" w:cs="仿宋" w:hint="eastAsia"/>
          <w:sz w:val="28"/>
          <w:szCs w:val="28"/>
        </w:rPr>
        <w:t>特此公告。</w:t>
      </w:r>
    </w:p>
    <w:p w:rsidR="00C91E32" w:rsidRPr="002D275B" w:rsidRDefault="00C91E32" w:rsidP="00C91E32">
      <w:pPr>
        <w:spacing w:line="360" w:lineRule="auto"/>
        <w:ind w:firstLine="420"/>
        <w:jc w:val="right"/>
        <w:rPr>
          <w:rFonts w:ascii="仿宋" w:eastAsia="仿宋" w:hAnsi="仿宋"/>
          <w:sz w:val="28"/>
          <w:szCs w:val="28"/>
        </w:rPr>
      </w:pPr>
      <w:r w:rsidRPr="002D275B">
        <w:rPr>
          <w:rFonts w:ascii="仿宋" w:eastAsia="仿宋" w:hAnsi="仿宋" w:cs="仿宋" w:hint="eastAsia"/>
          <w:sz w:val="28"/>
          <w:szCs w:val="28"/>
        </w:rPr>
        <w:t>武汉三</w:t>
      </w:r>
      <w:proofErr w:type="gramStart"/>
      <w:r w:rsidRPr="002D275B">
        <w:rPr>
          <w:rFonts w:ascii="仿宋" w:eastAsia="仿宋" w:hAnsi="仿宋" w:cs="仿宋" w:hint="eastAsia"/>
          <w:sz w:val="28"/>
          <w:szCs w:val="28"/>
        </w:rPr>
        <w:t>特</w:t>
      </w:r>
      <w:proofErr w:type="gramEnd"/>
      <w:r w:rsidRPr="002D275B">
        <w:rPr>
          <w:rFonts w:ascii="仿宋" w:eastAsia="仿宋" w:hAnsi="仿宋" w:cs="仿宋" w:hint="eastAsia"/>
          <w:sz w:val="28"/>
          <w:szCs w:val="28"/>
        </w:rPr>
        <w:t>索道集团股份有限公司</w:t>
      </w:r>
    </w:p>
    <w:p w:rsidR="00C91E32" w:rsidRPr="002D275B" w:rsidRDefault="00C91E32" w:rsidP="00C91E32">
      <w:pPr>
        <w:spacing w:line="360" w:lineRule="auto"/>
        <w:ind w:firstLineChars="2000" w:firstLine="5600"/>
        <w:rPr>
          <w:rFonts w:ascii="仿宋" w:eastAsia="仿宋" w:hAnsi="仿宋"/>
          <w:sz w:val="28"/>
          <w:szCs w:val="28"/>
        </w:rPr>
      </w:pPr>
      <w:r w:rsidRPr="002D275B">
        <w:rPr>
          <w:rFonts w:ascii="仿宋" w:eastAsia="仿宋" w:hAnsi="仿宋" w:cs="仿宋" w:hint="eastAsia"/>
          <w:sz w:val="28"/>
          <w:szCs w:val="28"/>
        </w:rPr>
        <w:t>董</w:t>
      </w:r>
      <w:r w:rsidRPr="002D275B">
        <w:rPr>
          <w:rFonts w:ascii="仿宋" w:eastAsia="仿宋" w:hAnsi="仿宋" w:cs="仿宋"/>
          <w:sz w:val="28"/>
          <w:szCs w:val="28"/>
        </w:rPr>
        <w:t xml:space="preserve">   </w:t>
      </w:r>
      <w:r w:rsidRPr="002D275B">
        <w:rPr>
          <w:rFonts w:ascii="仿宋" w:eastAsia="仿宋" w:hAnsi="仿宋" w:cs="仿宋" w:hint="eastAsia"/>
          <w:sz w:val="28"/>
          <w:szCs w:val="28"/>
        </w:rPr>
        <w:t>事</w:t>
      </w:r>
      <w:r w:rsidRPr="002D275B">
        <w:rPr>
          <w:rFonts w:ascii="仿宋" w:eastAsia="仿宋" w:hAnsi="仿宋" w:cs="仿宋"/>
          <w:sz w:val="28"/>
          <w:szCs w:val="28"/>
        </w:rPr>
        <w:t xml:space="preserve">   </w:t>
      </w:r>
      <w:r w:rsidRPr="002D275B">
        <w:rPr>
          <w:rFonts w:ascii="仿宋" w:eastAsia="仿宋" w:hAnsi="仿宋" w:cs="仿宋" w:hint="eastAsia"/>
          <w:sz w:val="28"/>
          <w:szCs w:val="28"/>
        </w:rPr>
        <w:t>会</w:t>
      </w:r>
    </w:p>
    <w:p w:rsidR="00C91E32" w:rsidRPr="002D275B" w:rsidRDefault="00C91E32" w:rsidP="00C91E32">
      <w:pPr>
        <w:spacing w:line="360" w:lineRule="auto"/>
        <w:jc w:val="center"/>
        <w:rPr>
          <w:rFonts w:ascii="仿宋" w:eastAsia="仿宋" w:hAnsi="仿宋"/>
        </w:rPr>
      </w:pPr>
      <w:r w:rsidRPr="002D275B">
        <w:rPr>
          <w:rFonts w:ascii="仿宋" w:eastAsia="仿宋" w:hAnsi="仿宋" w:cs="仿宋"/>
          <w:sz w:val="28"/>
          <w:szCs w:val="28"/>
        </w:rPr>
        <w:t xml:space="preserve">                                </w:t>
      </w:r>
      <w:r w:rsidRPr="00296408">
        <w:rPr>
          <w:rFonts w:ascii="仿宋" w:eastAsia="仿宋" w:hAnsi="仿宋" w:cs="仿宋" w:hint="eastAsia"/>
          <w:sz w:val="28"/>
          <w:szCs w:val="28"/>
        </w:rPr>
        <w:t>2015年</w:t>
      </w:r>
      <w:r w:rsidR="00A26E93" w:rsidRPr="00296408">
        <w:rPr>
          <w:rFonts w:ascii="仿宋" w:eastAsia="仿宋" w:hAnsi="仿宋" w:cs="仿宋" w:hint="eastAsia"/>
          <w:sz w:val="28"/>
          <w:szCs w:val="28"/>
        </w:rPr>
        <w:t>4</w:t>
      </w:r>
      <w:r w:rsidRPr="00296408">
        <w:rPr>
          <w:rFonts w:ascii="仿宋" w:eastAsia="仿宋" w:hAnsi="仿宋" w:cs="仿宋" w:hint="eastAsia"/>
          <w:sz w:val="28"/>
          <w:szCs w:val="28"/>
        </w:rPr>
        <w:t>月</w:t>
      </w:r>
      <w:r w:rsidR="003B1FAE" w:rsidRPr="00296408">
        <w:rPr>
          <w:rFonts w:ascii="仿宋" w:eastAsia="仿宋" w:hAnsi="仿宋" w:cs="仿宋" w:hint="eastAsia"/>
          <w:sz w:val="28"/>
          <w:szCs w:val="28"/>
        </w:rPr>
        <w:t>30</w:t>
      </w:r>
      <w:r w:rsidRPr="00296408">
        <w:rPr>
          <w:rFonts w:ascii="仿宋" w:eastAsia="仿宋" w:hAnsi="仿宋" w:cs="仿宋" w:hint="eastAsia"/>
          <w:sz w:val="28"/>
          <w:szCs w:val="28"/>
        </w:rPr>
        <w:t>日</w:t>
      </w:r>
    </w:p>
    <w:sectPr w:rsidR="00C91E32" w:rsidRPr="002D275B" w:rsidSect="001E248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92" w:rsidRDefault="00BD0292" w:rsidP="00CF13C2">
      <w:pPr>
        <w:ind w:firstLine="420"/>
      </w:pPr>
      <w:r>
        <w:separator/>
      </w:r>
    </w:p>
  </w:endnote>
  <w:endnote w:type="continuationSeparator" w:id="0">
    <w:p w:rsidR="00BD0292" w:rsidRDefault="00BD0292" w:rsidP="00CF13C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92" w:rsidRDefault="00BD0292" w:rsidP="00CF13C2">
      <w:pPr>
        <w:ind w:firstLine="420"/>
      </w:pPr>
      <w:r>
        <w:separator/>
      </w:r>
    </w:p>
  </w:footnote>
  <w:footnote w:type="continuationSeparator" w:id="0">
    <w:p w:rsidR="00BD0292" w:rsidRDefault="00BD0292" w:rsidP="00CF13C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C2" w:rsidRDefault="00CF13C2" w:rsidP="00CF13C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3C2"/>
    <w:rsid w:val="00036D8E"/>
    <w:rsid w:val="00037882"/>
    <w:rsid w:val="00076DB9"/>
    <w:rsid w:val="0008047D"/>
    <w:rsid w:val="0008674D"/>
    <w:rsid w:val="000D5480"/>
    <w:rsid w:val="00100DA3"/>
    <w:rsid w:val="00133267"/>
    <w:rsid w:val="001560D5"/>
    <w:rsid w:val="001A27B6"/>
    <w:rsid w:val="001A53BC"/>
    <w:rsid w:val="001A5D14"/>
    <w:rsid w:val="001D6CFA"/>
    <w:rsid w:val="001E2480"/>
    <w:rsid w:val="002138C2"/>
    <w:rsid w:val="002804BE"/>
    <w:rsid w:val="00291FF2"/>
    <w:rsid w:val="00296408"/>
    <w:rsid w:val="002E4666"/>
    <w:rsid w:val="002F0150"/>
    <w:rsid w:val="00311980"/>
    <w:rsid w:val="00377ED5"/>
    <w:rsid w:val="00383C57"/>
    <w:rsid w:val="00390DDB"/>
    <w:rsid w:val="003B1FAE"/>
    <w:rsid w:val="00466DDE"/>
    <w:rsid w:val="004A7290"/>
    <w:rsid w:val="004D2309"/>
    <w:rsid w:val="004E1D70"/>
    <w:rsid w:val="00574701"/>
    <w:rsid w:val="005844FE"/>
    <w:rsid w:val="00591D08"/>
    <w:rsid w:val="005A05DE"/>
    <w:rsid w:val="005B4F4A"/>
    <w:rsid w:val="005D1E1B"/>
    <w:rsid w:val="00603D73"/>
    <w:rsid w:val="0061628F"/>
    <w:rsid w:val="0064334B"/>
    <w:rsid w:val="00647421"/>
    <w:rsid w:val="006B050E"/>
    <w:rsid w:val="006D68C4"/>
    <w:rsid w:val="006E4226"/>
    <w:rsid w:val="007257E8"/>
    <w:rsid w:val="00732717"/>
    <w:rsid w:val="00734CA3"/>
    <w:rsid w:val="00746101"/>
    <w:rsid w:val="0078399B"/>
    <w:rsid w:val="007860EA"/>
    <w:rsid w:val="007B1257"/>
    <w:rsid w:val="007D6C18"/>
    <w:rsid w:val="007E3BD1"/>
    <w:rsid w:val="008029F3"/>
    <w:rsid w:val="008147B3"/>
    <w:rsid w:val="00845B46"/>
    <w:rsid w:val="00860ED2"/>
    <w:rsid w:val="00871B85"/>
    <w:rsid w:val="008F2FE6"/>
    <w:rsid w:val="009118D4"/>
    <w:rsid w:val="009533D7"/>
    <w:rsid w:val="00991D75"/>
    <w:rsid w:val="009A1ABB"/>
    <w:rsid w:val="009B682B"/>
    <w:rsid w:val="009B7F8D"/>
    <w:rsid w:val="009D1199"/>
    <w:rsid w:val="009F2524"/>
    <w:rsid w:val="00A02B55"/>
    <w:rsid w:val="00A1305E"/>
    <w:rsid w:val="00A148FD"/>
    <w:rsid w:val="00A25BEE"/>
    <w:rsid w:val="00A26E93"/>
    <w:rsid w:val="00A5663E"/>
    <w:rsid w:val="00A72E4A"/>
    <w:rsid w:val="00A81306"/>
    <w:rsid w:val="00A92310"/>
    <w:rsid w:val="00AA0419"/>
    <w:rsid w:val="00AB46A2"/>
    <w:rsid w:val="00AC5A70"/>
    <w:rsid w:val="00B03E77"/>
    <w:rsid w:val="00B60893"/>
    <w:rsid w:val="00B8458D"/>
    <w:rsid w:val="00B93039"/>
    <w:rsid w:val="00BC6B69"/>
    <w:rsid w:val="00BD0292"/>
    <w:rsid w:val="00BE652D"/>
    <w:rsid w:val="00C353CE"/>
    <w:rsid w:val="00C56F0D"/>
    <w:rsid w:val="00C75C90"/>
    <w:rsid w:val="00C91E32"/>
    <w:rsid w:val="00CA6F0C"/>
    <w:rsid w:val="00CA75FC"/>
    <w:rsid w:val="00CB7484"/>
    <w:rsid w:val="00CC235F"/>
    <w:rsid w:val="00CD5D63"/>
    <w:rsid w:val="00CF13C2"/>
    <w:rsid w:val="00D00421"/>
    <w:rsid w:val="00D34464"/>
    <w:rsid w:val="00DA1587"/>
    <w:rsid w:val="00DC3E5D"/>
    <w:rsid w:val="00DC6D8F"/>
    <w:rsid w:val="00DD5BAD"/>
    <w:rsid w:val="00DF5CA2"/>
    <w:rsid w:val="00E00991"/>
    <w:rsid w:val="00E07CD2"/>
    <w:rsid w:val="00E25BB1"/>
    <w:rsid w:val="00E9456B"/>
    <w:rsid w:val="00EA06A0"/>
    <w:rsid w:val="00EB412A"/>
    <w:rsid w:val="00ED26E9"/>
    <w:rsid w:val="00ED4805"/>
    <w:rsid w:val="00EE3AD8"/>
    <w:rsid w:val="00F04B58"/>
    <w:rsid w:val="00F04FBC"/>
    <w:rsid w:val="00F17DCC"/>
    <w:rsid w:val="00F34313"/>
    <w:rsid w:val="00F3645E"/>
    <w:rsid w:val="00F51420"/>
    <w:rsid w:val="00F92659"/>
    <w:rsid w:val="00FA72D3"/>
    <w:rsid w:val="00FB2697"/>
    <w:rsid w:val="00FD6F94"/>
    <w:rsid w:val="00FE0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C2"/>
    <w:pPr>
      <w:widowControl w:val="0"/>
      <w:spacing w:line="240" w:lineRule="auto"/>
      <w:ind w:firstLineChars="0" w:firstLine="0"/>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3"/>
    <w:link w:val="2Char"/>
    <w:qFormat/>
    <w:rsid w:val="005B4F4A"/>
    <w:pPr>
      <w:pBdr>
        <w:bottom w:val="none" w:sz="0" w:space="0" w:color="auto"/>
      </w:pBdr>
      <w:ind w:firstLine="360"/>
    </w:pPr>
  </w:style>
  <w:style w:type="paragraph" w:styleId="a3">
    <w:name w:val="header"/>
    <w:basedOn w:val="a"/>
    <w:link w:val="Char"/>
    <w:uiPriority w:val="99"/>
    <w:semiHidden/>
    <w:unhideWhenUsed/>
    <w:rsid w:val="005B4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F4A"/>
    <w:rPr>
      <w:sz w:val="18"/>
      <w:szCs w:val="18"/>
    </w:rPr>
  </w:style>
  <w:style w:type="character" w:customStyle="1" w:styleId="2Char">
    <w:name w:val="样式2 Char"/>
    <w:basedOn w:val="Char"/>
    <w:link w:val="2"/>
    <w:rsid w:val="005B4F4A"/>
  </w:style>
  <w:style w:type="paragraph" w:customStyle="1" w:styleId="3">
    <w:name w:val="样式3"/>
    <w:basedOn w:val="a"/>
    <w:link w:val="3Char"/>
    <w:qFormat/>
    <w:rsid w:val="00390DDB"/>
    <w:pPr>
      <w:tabs>
        <w:tab w:val="center" w:pos="4153"/>
        <w:tab w:val="right" w:pos="8306"/>
      </w:tabs>
      <w:snapToGrid w:val="0"/>
      <w:ind w:firstLine="360"/>
      <w:jc w:val="center"/>
    </w:pPr>
    <w:rPr>
      <w:sz w:val="18"/>
      <w:szCs w:val="18"/>
    </w:rPr>
  </w:style>
  <w:style w:type="character" w:customStyle="1" w:styleId="3Char">
    <w:name w:val="样式3 Char"/>
    <w:basedOn w:val="a0"/>
    <w:link w:val="3"/>
    <w:rsid w:val="00390DDB"/>
    <w:rPr>
      <w:sz w:val="18"/>
      <w:szCs w:val="18"/>
    </w:rPr>
  </w:style>
  <w:style w:type="paragraph" w:customStyle="1" w:styleId="5">
    <w:name w:val="样式5"/>
    <w:link w:val="5Char"/>
    <w:qFormat/>
    <w:rsid w:val="00F92659"/>
    <w:pPr>
      <w:ind w:firstLine="360"/>
    </w:pPr>
    <w:rPr>
      <w:sz w:val="18"/>
      <w:szCs w:val="18"/>
    </w:rPr>
  </w:style>
  <w:style w:type="character" w:customStyle="1" w:styleId="5Char">
    <w:name w:val="样式5 Char"/>
    <w:basedOn w:val="a0"/>
    <w:link w:val="5"/>
    <w:rsid w:val="00F92659"/>
    <w:rPr>
      <w:sz w:val="18"/>
      <w:szCs w:val="18"/>
    </w:rPr>
  </w:style>
  <w:style w:type="paragraph" w:customStyle="1" w:styleId="6">
    <w:name w:val="样式6"/>
    <w:basedOn w:val="a"/>
    <w:link w:val="6Char"/>
    <w:rsid w:val="00F17DCC"/>
    <w:pPr>
      <w:widowControl/>
      <w:ind w:firstLine="360"/>
    </w:pPr>
    <w:rPr>
      <w:sz w:val="18"/>
      <w:szCs w:val="18"/>
    </w:rPr>
  </w:style>
  <w:style w:type="character" w:customStyle="1" w:styleId="6Char">
    <w:name w:val="样式6 Char"/>
    <w:basedOn w:val="a0"/>
    <w:link w:val="6"/>
    <w:rsid w:val="00F17DCC"/>
    <w:rPr>
      <w:sz w:val="18"/>
      <w:szCs w:val="18"/>
    </w:rPr>
  </w:style>
  <w:style w:type="paragraph" w:customStyle="1" w:styleId="4">
    <w:name w:val="样式4"/>
    <w:basedOn w:val="a3"/>
    <w:link w:val="4Char"/>
    <w:qFormat/>
    <w:rsid w:val="00466DDE"/>
    <w:pPr>
      <w:pBdr>
        <w:bottom w:val="none" w:sz="0" w:space="0" w:color="auto"/>
      </w:pBdr>
      <w:ind w:firstLine="360"/>
    </w:pPr>
  </w:style>
  <w:style w:type="character" w:customStyle="1" w:styleId="4Char">
    <w:name w:val="样式4 Char"/>
    <w:basedOn w:val="Char"/>
    <w:link w:val="4"/>
    <w:rsid w:val="00466DDE"/>
  </w:style>
  <w:style w:type="paragraph" w:customStyle="1" w:styleId="7">
    <w:name w:val="样式7"/>
    <w:basedOn w:val="a"/>
    <w:link w:val="7Char"/>
    <w:rsid w:val="00FD6F94"/>
    <w:pPr>
      <w:widowControl/>
      <w:ind w:firstLine="360"/>
    </w:pPr>
    <w:rPr>
      <w:sz w:val="18"/>
      <w:szCs w:val="18"/>
    </w:rPr>
  </w:style>
  <w:style w:type="character" w:customStyle="1" w:styleId="7Char">
    <w:name w:val="样式7 Char"/>
    <w:basedOn w:val="a0"/>
    <w:link w:val="7"/>
    <w:rsid w:val="00FD6F94"/>
    <w:rPr>
      <w:sz w:val="18"/>
      <w:szCs w:val="18"/>
    </w:rPr>
  </w:style>
  <w:style w:type="paragraph" w:customStyle="1" w:styleId="9">
    <w:name w:val="样式9"/>
    <w:link w:val="9Char"/>
    <w:rsid w:val="00133267"/>
    <w:rPr>
      <w:sz w:val="18"/>
      <w:szCs w:val="18"/>
    </w:rPr>
  </w:style>
  <w:style w:type="character" w:customStyle="1" w:styleId="9Char">
    <w:name w:val="样式9 Char"/>
    <w:basedOn w:val="a0"/>
    <w:link w:val="9"/>
    <w:rsid w:val="00133267"/>
    <w:rPr>
      <w:sz w:val="18"/>
      <w:szCs w:val="18"/>
    </w:rPr>
  </w:style>
  <w:style w:type="paragraph" w:customStyle="1" w:styleId="8">
    <w:name w:val="样式8"/>
    <w:basedOn w:val="a"/>
    <w:next w:val="a"/>
    <w:link w:val="8Char"/>
    <w:rsid w:val="00845B46"/>
    <w:pPr>
      <w:widowControl/>
      <w:ind w:firstLine="360"/>
    </w:pPr>
    <w:rPr>
      <w:sz w:val="18"/>
      <w:szCs w:val="18"/>
    </w:rPr>
  </w:style>
  <w:style w:type="character" w:customStyle="1" w:styleId="8Char">
    <w:name w:val="样式8 Char"/>
    <w:basedOn w:val="a0"/>
    <w:link w:val="8"/>
    <w:rsid w:val="00845B46"/>
    <w:rPr>
      <w:sz w:val="18"/>
      <w:szCs w:val="18"/>
    </w:rPr>
  </w:style>
  <w:style w:type="paragraph" w:customStyle="1" w:styleId="1">
    <w:name w:val="样式1"/>
    <w:link w:val="1Char"/>
    <w:rsid w:val="002138C2"/>
    <w:pPr>
      <w:ind w:firstLine="360"/>
    </w:pPr>
    <w:rPr>
      <w:sz w:val="18"/>
      <w:szCs w:val="18"/>
    </w:rPr>
  </w:style>
  <w:style w:type="character" w:customStyle="1" w:styleId="1Char">
    <w:name w:val="样式1 Char"/>
    <w:basedOn w:val="a0"/>
    <w:link w:val="1"/>
    <w:rsid w:val="002138C2"/>
    <w:rPr>
      <w:sz w:val="18"/>
      <w:szCs w:val="18"/>
    </w:rPr>
  </w:style>
  <w:style w:type="paragraph" w:styleId="a4">
    <w:name w:val="footer"/>
    <w:basedOn w:val="a"/>
    <w:link w:val="Char0"/>
    <w:uiPriority w:val="99"/>
    <w:semiHidden/>
    <w:unhideWhenUsed/>
    <w:rsid w:val="00CF13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3C2"/>
    <w:rPr>
      <w:sz w:val="18"/>
      <w:szCs w:val="18"/>
    </w:rPr>
  </w:style>
  <w:style w:type="paragraph" w:customStyle="1" w:styleId="10">
    <w:name w:val="样式10"/>
    <w:basedOn w:val="a3"/>
    <w:link w:val="10Char"/>
    <w:rsid w:val="00CF13C2"/>
    <w:pPr>
      <w:pBdr>
        <w:bottom w:val="none" w:sz="0" w:space="0" w:color="auto"/>
      </w:pBdr>
      <w:ind w:firstLine="360"/>
    </w:pPr>
  </w:style>
  <w:style w:type="character" w:customStyle="1" w:styleId="10Char">
    <w:name w:val="样式10 Char"/>
    <w:basedOn w:val="Char"/>
    <w:link w:val="10"/>
    <w:rsid w:val="00CF13C2"/>
  </w:style>
  <w:style w:type="paragraph" w:styleId="a5">
    <w:name w:val="Document Map"/>
    <w:basedOn w:val="a"/>
    <w:link w:val="Char1"/>
    <w:uiPriority w:val="99"/>
    <w:semiHidden/>
    <w:unhideWhenUsed/>
    <w:rsid w:val="00A26E93"/>
    <w:rPr>
      <w:rFonts w:ascii="宋体"/>
      <w:sz w:val="18"/>
      <w:szCs w:val="18"/>
    </w:rPr>
  </w:style>
  <w:style w:type="character" w:customStyle="1" w:styleId="Char1">
    <w:name w:val="文档结构图 Char"/>
    <w:basedOn w:val="a0"/>
    <w:link w:val="a5"/>
    <w:uiPriority w:val="99"/>
    <w:semiHidden/>
    <w:rsid w:val="00A26E93"/>
    <w:rPr>
      <w:rFonts w:ascii="宋体" w:eastAsia="宋体" w:hAnsi="Times New Roman" w:cs="Times New Roman"/>
      <w:sz w:val="18"/>
      <w:szCs w:val="18"/>
    </w:rPr>
  </w:style>
  <w:style w:type="character" w:styleId="a6">
    <w:name w:val="annotation reference"/>
    <w:basedOn w:val="a0"/>
    <w:uiPriority w:val="99"/>
    <w:semiHidden/>
    <w:unhideWhenUsed/>
    <w:rsid w:val="00A26E93"/>
    <w:rPr>
      <w:sz w:val="21"/>
      <w:szCs w:val="21"/>
    </w:rPr>
  </w:style>
  <w:style w:type="paragraph" w:styleId="a7">
    <w:name w:val="annotation text"/>
    <w:basedOn w:val="a"/>
    <w:link w:val="Char2"/>
    <w:uiPriority w:val="99"/>
    <w:semiHidden/>
    <w:unhideWhenUsed/>
    <w:rsid w:val="00A26E93"/>
    <w:pPr>
      <w:jc w:val="left"/>
    </w:pPr>
    <w:rPr>
      <w:szCs w:val="24"/>
    </w:rPr>
  </w:style>
  <w:style w:type="character" w:customStyle="1" w:styleId="Char2">
    <w:name w:val="批注文字 Char"/>
    <w:basedOn w:val="a0"/>
    <w:link w:val="a7"/>
    <w:uiPriority w:val="99"/>
    <w:semiHidden/>
    <w:rsid w:val="00A26E93"/>
    <w:rPr>
      <w:rFonts w:ascii="Times New Roman" w:eastAsia="宋体" w:hAnsi="Times New Roman" w:cs="Times New Roman"/>
      <w:szCs w:val="24"/>
    </w:rPr>
  </w:style>
  <w:style w:type="paragraph" w:styleId="a8">
    <w:name w:val="Balloon Text"/>
    <w:basedOn w:val="a"/>
    <w:link w:val="Char3"/>
    <w:uiPriority w:val="99"/>
    <w:semiHidden/>
    <w:unhideWhenUsed/>
    <w:rsid w:val="00A26E93"/>
    <w:rPr>
      <w:sz w:val="18"/>
      <w:szCs w:val="18"/>
    </w:rPr>
  </w:style>
  <w:style w:type="character" w:customStyle="1" w:styleId="Char3">
    <w:name w:val="批注框文本 Char"/>
    <w:basedOn w:val="a0"/>
    <w:link w:val="a8"/>
    <w:uiPriority w:val="99"/>
    <w:semiHidden/>
    <w:rsid w:val="00A26E93"/>
    <w:rPr>
      <w:rFonts w:ascii="Times New Roman" w:eastAsia="宋体" w:hAnsi="Times New Roman" w:cs="Times New Roman"/>
      <w:sz w:val="18"/>
      <w:szCs w:val="18"/>
    </w:rPr>
  </w:style>
  <w:style w:type="table" w:styleId="a9">
    <w:name w:val="Table Grid"/>
    <w:basedOn w:val="a1"/>
    <w:uiPriority w:val="59"/>
    <w:rsid w:val="002E4666"/>
    <w:pPr>
      <w:spacing w:line="240" w:lineRule="auto"/>
      <w:ind w:firstLineChars="0" w:firstLine="0"/>
      <w:jc w:val="left"/>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c:creator>
  <cp:lastModifiedBy>won</cp:lastModifiedBy>
  <cp:revision>30</cp:revision>
  <dcterms:created xsi:type="dcterms:W3CDTF">2015-04-14T03:49:00Z</dcterms:created>
  <dcterms:modified xsi:type="dcterms:W3CDTF">2015-05-07T03:41:00Z</dcterms:modified>
</cp:coreProperties>
</file>