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55" w:rsidRPr="00F63CA3" w:rsidRDefault="006A4F55" w:rsidP="004C4BE3">
      <w:pPr>
        <w:widowControl/>
        <w:adjustRightInd w:val="0"/>
        <w:snapToGrid w:val="0"/>
        <w:spacing w:line="360" w:lineRule="auto"/>
        <w:rPr>
          <w:rFonts w:asciiTheme="minorEastAsia" w:eastAsiaTheme="minorEastAsia" w:hAnsiTheme="minorEastAsia"/>
          <w:kern w:val="0"/>
          <w:szCs w:val="24"/>
        </w:rPr>
      </w:pPr>
      <w:r w:rsidRPr="00F63CA3">
        <w:rPr>
          <w:rFonts w:asciiTheme="minorEastAsia" w:eastAsiaTheme="minorEastAsia" w:hAnsiTheme="minorEastAsia" w:cs="宋体" w:hint="eastAsia"/>
          <w:kern w:val="0"/>
          <w:szCs w:val="24"/>
        </w:rPr>
        <w:t>证券简称：三</w:t>
      </w:r>
      <w:proofErr w:type="gramStart"/>
      <w:r w:rsidRPr="00F63CA3">
        <w:rPr>
          <w:rFonts w:asciiTheme="minorEastAsia" w:eastAsiaTheme="minorEastAsia" w:hAnsiTheme="minorEastAsia" w:cs="宋体" w:hint="eastAsia"/>
          <w:kern w:val="0"/>
          <w:szCs w:val="24"/>
        </w:rPr>
        <w:t>特</w:t>
      </w:r>
      <w:proofErr w:type="gramEnd"/>
      <w:r w:rsidRPr="00F63CA3">
        <w:rPr>
          <w:rFonts w:asciiTheme="minorEastAsia" w:eastAsiaTheme="minorEastAsia" w:hAnsiTheme="minorEastAsia" w:cs="宋体" w:hint="eastAsia"/>
          <w:kern w:val="0"/>
          <w:szCs w:val="24"/>
        </w:rPr>
        <w:t>索道</w:t>
      </w:r>
      <w:r w:rsidRPr="00F63CA3">
        <w:rPr>
          <w:rFonts w:asciiTheme="minorEastAsia" w:eastAsiaTheme="minorEastAsia" w:hAnsiTheme="minorEastAsia" w:cs="宋体"/>
          <w:kern w:val="0"/>
          <w:szCs w:val="24"/>
        </w:rPr>
        <w:t xml:space="preserve">              </w:t>
      </w:r>
      <w:r w:rsidRPr="00F63CA3">
        <w:rPr>
          <w:rFonts w:asciiTheme="minorEastAsia" w:eastAsiaTheme="minorEastAsia" w:hAnsiTheme="minorEastAsia" w:cs="宋体" w:hint="eastAsia"/>
          <w:kern w:val="0"/>
          <w:szCs w:val="24"/>
        </w:rPr>
        <w:t>证券代码：</w:t>
      </w:r>
      <w:r w:rsidRPr="00F63CA3">
        <w:rPr>
          <w:rFonts w:asciiTheme="minorEastAsia" w:eastAsiaTheme="minorEastAsia" w:hAnsiTheme="minorEastAsia" w:cs="宋体"/>
          <w:kern w:val="0"/>
          <w:szCs w:val="24"/>
        </w:rPr>
        <w:t xml:space="preserve">002159            </w:t>
      </w:r>
      <w:r w:rsidRPr="00F63CA3">
        <w:rPr>
          <w:rFonts w:asciiTheme="minorEastAsia" w:eastAsiaTheme="minorEastAsia" w:hAnsiTheme="minorEastAsia" w:cs="宋体" w:hint="eastAsia"/>
          <w:kern w:val="0"/>
          <w:szCs w:val="24"/>
        </w:rPr>
        <w:t>公告编号</w:t>
      </w:r>
      <w:r w:rsidRPr="009042BA">
        <w:rPr>
          <w:rFonts w:asciiTheme="minorEastAsia" w:eastAsiaTheme="minorEastAsia" w:hAnsiTheme="minorEastAsia" w:cs="宋体" w:hint="eastAsia"/>
          <w:kern w:val="0"/>
          <w:szCs w:val="24"/>
        </w:rPr>
        <w:t>：临</w:t>
      </w:r>
      <w:r w:rsidR="00DB2016" w:rsidRPr="009042BA">
        <w:rPr>
          <w:rFonts w:asciiTheme="minorEastAsia" w:eastAsiaTheme="minorEastAsia" w:hAnsiTheme="minorEastAsia" w:cs="宋体"/>
          <w:kern w:val="0"/>
          <w:szCs w:val="24"/>
        </w:rPr>
        <w:t>201</w:t>
      </w:r>
      <w:r w:rsidR="000814BD" w:rsidRPr="009042BA">
        <w:rPr>
          <w:rFonts w:asciiTheme="minorEastAsia" w:eastAsiaTheme="minorEastAsia" w:hAnsiTheme="minorEastAsia" w:cs="宋体" w:hint="eastAsia"/>
          <w:kern w:val="0"/>
          <w:szCs w:val="24"/>
        </w:rPr>
        <w:t>5</w:t>
      </w:r>
      <w:r w:rsidR="00DB2016" w:rsidRPr="009042BA">
        <w:rPr>
          <w:rFonts w:asciiTheme="minorEastAsia" w:eastAsiaTheme="minorEastAsia" w:hAnsiTheme="minorEastAsia" w:cs="宋体"/>
          <w:kern w:val="0"/>
          <w:szCs w:val="24"/>
        </w:rPr>
        <w:t>-</w:t>
      </w:r>
      <w:r w:rsidR="00856140" w:rsidRPr="009042BA">
        <w:rPr>
          <w:rFonts w:asciiTheme="minorEastAsia" w:eastAsiaTheme="minorEastAsia" w:hAnsiTheme="minorEastAsia" w:cs="宋体" w:hint="eastAsia"/>
          <w:kern w:val="0"/>
          <w:szCs w:val="24"/>
        </w:rPr>
        <w:t>4</w:t>
      </w:r>
      <w:r w:rsidR="00D37DEA">
        <w:rPr>
          <w:rFonts w:asciiTheme="minorEastAsia" w:eastAsiaTheme="minorEastAsia" w:hAnsiTheme="minorEastAsia" w:cs="宋体" w:hint="eastAsia"/>
          <w:kern w:val="0"/>
          <w:szCs w:val="24"/>
        </w:rPr>
        <w:t>8</w:t>
      </w:r>
    </w:p>
    <w:p w:rsidR="006A4F55" w:rsidRPr="00CE5B31" w:rsidRDefault="006A4F55" w:rsidP="00491D08">
      <w:pPr>
        <w:adjustRightInd w:val="0"/>
        <w:snapToGrid w:val="0"/>
        <w:spacing w:beforeLines="50" w:line="360" w:lineRule="auto"/>
        <w:jc w:val="center"/>
        <w:rPr>
          <w:rFonts w:asciiTheme="minorEastAsia" w:eastAsiaTheme="minorEastAsia" w:hAnsiTheme="minorEastAsia"/>
          <w:b/>
          <w:bCs/>
          <w:sz w:val="30"/>
          <w:szCs w:val="30"/>
        </w:rPr>
      </w:pPr>
      <w:r w:rsidRPr="00CE5B31">
        <w:rPr>
          <w:rFonts w:asciiTheme="minorEastAsia" w:eastAsiaTheme="minorEastAsia" w:hAnsiTheme="minorEastAsia" w:cs="宋体" w:hint="eastAsia"/>
          <w:b/>
          <w:bCs/>
          <w:sz w:val="30"/>
          <w:szCs w:val="30"/>
        </w:rPr>
        <w:t>武汉三</w:t>
      </w:r>
      <w:proofErr w:type="gramStart"/>
      <w:r w:rsidRPr="00CE5B31">
        <w:rPr>
          <w:rFonts w:asciiTheme="minorEastAsia" w:eastAsiaTheme="minorEastAsia" w:hAnsiTheme="minorEastAsia" w:cs="宋体" w:hint="eastAsia"/>
          <w:b/>
          <w:bCs/>
          <w:sz w:val="30"/>
          <w:szCs w:val="30"/>
        </w:rPr>
        <w:t>特</w:t>
      </w:r>
      <w:proofErr w:type="gramEnd"/>
      <w:r w:rsidRPr="00CE5B31">
        <w:rPr>
          <w:rFonts w:asciiTheme="minorEastAsia" w:eastAsiaTheme="minorEastAsia" w:hAnsiTheme="minorEastAsia" w:cs="宋体" w:hint="eastAsia"/>
          <w:b/>
          <w:bCs/>
          <w:sz w:val="30"/>
          <w:szCs w:val="30"/>
        </w:rPr>
        <w:t>索道集团股份有限公司</w:t>
      </w:r>
    </w:p>
    <w:p w:rsidR="006A4F55" w:rsidRPr="00CE5B31" w:rsidRDefault="00D37DEA" w:rsidP="00491D08">
      <w:pPr>
        <w:adjustRightInd w:val="0"/>
        <w:snapToGrid w:val="0"/>
        <w:spacing w:afterLines="50" w:line="360" w:lineRule="auto"/>
        <w:jc w:val="center"/>
        <w:rPr>
          <w:rFonts w:asciiTheme="minorEastAsia" w:eastAsiaTheme="minorEastAsia" w:hAnsiTheme="minorEastAsia"/>
          <w:b/>
          <w:bCs/>
          <w:sz w:val="30"/>
          <w:szCs w:val="30"/>
        </w:rPr>
      </w:pPr>
      <w:r w:rsidRPr="00D37DEA">
        <w:rPr>
          <w:rFonts w:asciiTheme="minorEastAsia" w:eastAsiaTheme="minorEastAsia" w:hAnsiTheme="minorEastAsia" w:cs="宋体" w:hint="eastAsia"/>
          <w:b/>
          <w:bCs/>
          <w:sz w:val="30"/>
          <w:szCs w:val="30"/>
        </w:rPr>
        <w:t>关于重大资产重组复牌的提示性公告</w:t>
      </w:r>
    </w:p>
    <w:tbl>
      <w:tblPr>
        <w:tblW w:w="86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6"/>
      </w:tblGrid>
      <w:tr w:rsidR="006A4F55" w:rsidRPr="00F63CA3">
        <w:trPr>
          <w:trHeight w:val="1092"/>
        </w:trPr>
        <w:tc>
          <w:tcPr>
            <w:tcW w:w="8616" w:type="dxa"/>
          </w:tcPr>
          <w:p w:rsidR="006A4F55" w:rsidRPr="00F63CA3" w:rsidRDefault="006A4F55" w:rsidP="00491D08">
            <w:pPr>
              <w:autoSpaceDE w:val="0"/>
              <w:autoSpaceDN w:val="0"/>
              <w:adjustRightInd w:val="0"/>
              <w:snapToGrid w:val="0"/>
              <w:spacing w:beforeLines="50" w:line="360" w:lineRule="auto"/>
              <w:ind w:left="-3" w:firstLineChars="200" w:firstLine="480"/>
              <w:rPr>
                <w:rFonts w:asciiTheme="minorEastAsia" w:eastAsiaTheme="minorEastAsia" w:hAnsiTheme="minorEastAsia"/>
                <w:kern w:val="0"/>
                <w:sz w:val="24"/>
                <w:szCs w:val="24"/>
              </w:rPr>
            </w:pPr>
            <w:r w:rsidRPr="00F63CA3">
              <w:rPr>
                <w:rFonts w:asciiTheme="minorEastAsia" w:eastAsiaTheme="minorEastAsia" w:hAnsiTheme="minorEastAsia" w:cs="仿宋" w:hint="eastAsia"/>
                <w:kern w:val="0"/>
                <w:sz w:val="24"/>
                <w:szCs w:val="24"/>
              </w:rPr>
              <w:t>本公司及董事会全体成员保证信息披露的内容真实、准确和完整，没有虚假记载、误导性陈述或者重大遗漏。</w:t>
            </w:r>
          </w:p>
        </w:tc>
      </w:tr>
    </w:tbl>
    <w:p w:rsidR="006A4F55" w:rsidRPr="00F63CA3" w:rsidRDefault="006A4F55" w:rsidP="00F63CA3">
      <w:pPr>
        <w:adjustRightInd w:val="0"/>
        <w:snapToGrid w:val="0"/>
        <w:spacing w:line="360" w:lineRule="auto"/>
        <w:ind w:firstLineChars="200" w:firstLine="480"/>
        <w:jc w:val="left"/>
        <w:rPr>
          <w:rFonts w:asciiTheme="minorEastAsia" w:eastAsiaTheme="minorEastAsia" w:hAnsiTheme="minorEastAsia"/>
          <w:sz w:val="24"/>
          <w:szCs w:val="24"/>
        </w:rPr>
      </w:pPr>
    </w:p>
    <w:p w:rsidR="005F73B4" w:rsidRPr="006D0CAB" w:rsidRDefault="005F73B4" w:rsidP="005F73B4">
      <w:pPr>
        <w:spacing w:line="360" w:lineRule="auto"/>
        <w:ind w:firstLineChars="200" w:firstLine="480"/>
        <w:rPr>
          <w:rFonts w:asciiTheme="minorEastAsia" w:eastAsiaTheme="minorEastAsia" w:hAnsiTheme="minorEastAsia" w:cs="仿宋"/>
          <w:sz w:val="24"/>
          <w:szCs w:val="24"/>
        </w:rPr>
      </w:pPr>
      <w:r w:rsidRPr="006D0CAB">
        <w:rPr>
          <w:rFonts w:asciiTheme="minorEastAsia" w:eastAsiaTheme="minorEastAsia" w:hAnsiTheme="minorEastAsia" w:cs="仿宋" w:hint="eastAsia"/>
          <w:sz w:val="24"/>
          <w:szCs w:val="24"/>
        </w:rPr>
        <w:t>2015年6月26日，</w:t>
      </w:r>
      <w:r w:rsidR="001B2186" w:rsidRPr="006D0CAB">
        <w:rPr>
          <w:rFonts w:asciiTheme="minorEastAsia" w:eastAsiaTheme="minorEastAsia" w:hAnsiTheme="minorEastAsia" w:hint="eastAsia"/>
          <w:sz w:val="24"/>
          <w:szCs w:val="24"/>
        </w:rPr>
        <w:t>武汉三</w:t>
      </w:r>
      <w:proofErr w:type="gramStart"/>
      <w:r w:rsidR="001B2186" w:rsidRPr="006D0CAB">
        <w:rPr>
          <w:rFonts w:asciiTheme="minorEastAsia" w:eastAsiaTheme="minorEastAsia" w:hAnsiTheme="minorEastAsia" w:hint="eastAsia"/>
          <w:sz w:val="24"/>
          <w:szCs w:val="24"/>
        </w:rPr>
        <w:t>特</w:t>
      </w:r>
      <w:proofErr w:type="gramEnd"/>
      <w:r w:rsidR="001B2186" w:rsidRPr="006D0CAB">
        <w:rPr>
          <w:rFonts w:asciiTheme="minorEastAsia" w:eastAsiaTheme="minorEastAsia" w:hAnsiTheme="minorEastAsia" w:hint="eastAsia"/>
          <w:sz w:val="24"/>
          <w:szCs w:val="24"/>
        </w:rPr>
        <w:t>索道集团股份有限公司（以下简称“公司”）</w:t>
      </w:r>
      <w:r w:rsidRPr="006D0CAB">
        <w:rPr>
          <w:rFonts w:asciiTheme="minorEastAsia" w:eastAsiaTheme="minorEastAsia" w:hAnsiTheme="minorEastAsia" w:cs="仿宋" w:hint="eastAsia"/>
          <w:sz w:val="24"/>
          <w:szCs w:val="24"/>
        </w:rPr>
        <w:t>召开了第九届董事会第十九次临时会议，审议通过了《</w:t>
      </w:r>
      <w:r w:rsidRPr="006D0CAB">
        <w:rPr>
          <w:rFonts w:ascii="宋体" w:hAnsi="宋体" w:cs="仿宋" w:hint="eastAsia"/>
          <w:sz w:val="24"/>
          <w:szCs w:val="24"/>
        </w:rPr>
        <w:t>关于公司发行股份及支付现金购买资产并募集配套资金暨关联交易预案的议案</w:t>
      </w:r>
      <w:r w:rsidRPr="006D0CAB">
        <w:rPr>
          <w:rFonts w:asciiTheme="minorEastAsia" w:eastAsiaTheme="minorEastAsia" w:hAnsiTheme="minorEastAsia" w:cs="仿宋" w:hint="eastAsia"/>
          <w:sz w:val="24"/>
          <w:szCs w:val="24"/>
        </w:rPr>
        <w:t>》等与本次重大资产重组相关的议案</w:t>
      </w:r>
      <w:r>
        <w:rPr>
          <w:rFonts w:asciiTheme="minorEastAsia" w:eastAsiaTheme="minorEastAsia" w:hAnsiTheme="minorEastAsia" w:cs="仿宋" w:hint="eastAsia"/>
          <w:sz w:val="24"/>
          <w:szCs w:val="24"/>
        </w:rPr>
        <w:t>，</w:t>
      </w:r>
      <w:r w:rsidRPr="005F73B4">
        <w:rPr>
          <w:rFonts w:asciiTheme="minorEastAsia" w:eastAsiaTheme="minorEastAsia" w:hAnsiTheme="minorEastAsia" w:cs="仿宋" w:hint="eastAsia"/>
          <w:sz w:val="24"/>
          <w:szCs w:val="24"/>
        </w:rPr>
        <w:t>详细情况见2015年6月30日登载于《中国证券报》、《上海证券报》、《证券时报》、《证券日报》和巨潮资讯网（www.cninfo.com.cn）上的</w:t>
      </w:r>
      <w:r>
        <w:rPr>
          <w:rFonts w:asciiTheme="minorEastAsia" w:eastAsiaTheme="minorEastAsia" w:hAnsiTheme="minorEastAsia" w:cs="仿宋" w:hint="eastAsia"/>
          <w:sz w:val="24"/>
          <w:szCs w:val="24"/>
        </w:rPr>
        <w:t>相关公告与文件</w:t>
      </w:r>
      <w:r w:rsidRPr="00A74FF1">
        <w:rPr>
          <w:rFonts w:asciiTheme="minorEastAsia" w:eastAsiaTheme="minorEastAsia" w:hAnsiTheme="minorEastAsia" w:cs="仿宋" w:hint="eastAsia"/>
          <w:sz w:val="24"/>
          <w:szCs w:val="24"/>
        </w:rPr>
        <w:t>。</w:t>
      </w:r>
    </w:p>
    <w:p w:rsidR="005F73B4" w:rsidRDefault="005F73B4" w:rsidP="005F73B4">
      <w:pPr>
        <w:spacing w:line="360" w:lineRule="auto"/>
        <w:ind w:firstLineChars="200" w:firstLine="480"/>
        <w:rPr>
          <w:rFonts w:asciiTheme="minorEastAsia" w:eastAsiaTheme="minorEastAsia" w:hAnsiTheme="minorEastAsia" w:cs="仿宋"/>
          <w:sz w:val="24"/>
          <w:szCs w:val="24"/>
        </w:rPr>
      </w:pPr>
      <w:r w:rsidRPr="006D0CAB">
        <w:rPr>
          <w:rFonts w:asciiTheme="minorEastAsia" w:eastAsiaTheme="minorEastAsia" w:hAnsiTheme="minorEastAsia" w:cs="仿宋" w:hint="eastAsia"/>
          <w:sz w:val="24"/>
          <w:szCs w:val="24"/>
        </w:rPr>
        <w:t>根据</w:t>
      </w:r>
      <w:r>
        <w:rPr>
          <w:rFonts w:asciiTheme="minorEastAsia" w:eastAsiaTheme="minorEastAsia" w:hAnsiTheme="minorEastAsia" w:cs="仿宋" w:hint="eastAsia"/>
          <w:sz w:val="24"/>
          <w:szCs w:val="24"/>
        </w:rPr>
        <w:t>相关规定</w:t>
      </w:r>
      <w:r w:rsidRPr="006D0CAB">
        <w:rPr>
          <w:rFonts w:asciiTheme="minorEastAsia" w:eastAsiaTheme="minorEastAsia" w:hAnsiTheme="minorEastAsia" w:cs="仿宋" w:hint="eastAsia"/>
          <w:sz w:val="24"/>
          <w:szCs w:val="24"/>
        </w:rPr>
        <w:t>，</w:t>
      </w:r>
      <w:r>
        <w:rPr>
          <w:rFonts w:asciiTheme="minorEastAsia" w:eastAsiaTheme="minorEastAsia" w:hAnsiTheme="minorEastAsia" w:cs="仿宋" w:hint="eastAsia"/>
          <w:sz w:val="24"/>
          <w:szCs w:val="24"/>
        </w:rPr>
        <w:t>本次资产重组相关文件披露纳入直通车披露范围，</w:t>
      </w:r>
      <w:r w:rsidRPr="006D0CAB">
        <w:rPr>
          <w:rFonts w:asciiTheme="minorEastAsia" w:eastAsiaTheme="minorEastAsia" w:hAnsiTheme="minorEastAsia" w:cs="仿宋" w:hint="eastAsia"/>
          <w:sz w:val="24"/>
          <w:szCs w:val="24"/>
        </w:rPr>
        <w:t>实施事后审核机制</w:t>
      </w:r>
      <w:r>
        <w:rPr>
          <w:rFonts w:asciiTheme="minorEastAsia" w:eastAsiaTheme="minorEastAsia" w:hAnsiTheme="minorEastAsia" w:cs="仿宋" w:hint="eastAsia"/>
          <w:sz w:val="24"/>
          <w:szCs w:val="24"/>
        </w:rPr>
        <w:t>。</w:t>
      </w:r>
      <w:r w:rsidRPr="000177B9">
        <w:rPr>
          <w:rFonts w:asciiTheme="minorEastAsia" w:eastAsiaTheme="minorEastAsia" w:hAnsiTheme="minorEastAsia" w:cs="仿宋" w:hint="eastAsia"/>
          <w:sz w:val="24"/>
          <w:szCs w:val="24"/>
        </w:rPr>
        <w:t>公司股票将在</w:t>
      </w:r>
      <w:r>
        <w:rPr>
          <w:rFonts w:asciiTheme="minorEastAsia" w:eastAsiaTheme="minorEastAsia" w:hAnsiTheme="minorEastAsia" w:cs="仿宋" w:hint="eastAsia"/>
          <w:sz w:val="24"/>
          <w:szCs w:val="24"/>
        </w:rPr>
        <w:t>按</w:t>
      </w:r>
      <w:r>
        <w:rPr>
          <w:rFonts w:asciiTheme="minorEastAsia" w:eastAsiaTheme="minorEastAsia" w:hAnsiTheme="minorEastAsia" w:hint="eastAsia"/>
          <w:sz w:val="24"/>
          <w:szCs w:val="24"/>
        </w:rPr>
        <w:t>深圳证券交易所</w:t>
      </w:r>
      <w:r w:rsidRPr="000177B9">
        <w:rPr>
          <w:rFonts w:asciiTheme="minorEastAsia" w:eastAsiaTheme="minorEastAsia" w:hAnsiTheme="minorEastAsia" w:cs="仿宋" w:hint="eastAsia"/>
          <w:sz w:val="24"/>
          <w:szCs w:val="24"/>
        </w:rPr>
        <w:t>审核意见披露相关修订公告后复牌</w:t>
      </w:r>
      <w:r w:rsidRPr="006D0CAB">
        <w:rPr>
          <w:rFonts w:asciiTheme="minorEastAsia" w:eastAsiaTheme="minorEastAsia" w:hAnsiTheme="minorEastAsia" w:cs="仿宋" w:hint="eastAsia"/>
          <w:sz w:val="24"/>
          <w:szCs w:val="24"/>
        </w:rPr>
        <w:t>，预计停牌时间为自本次重大资产重组</w:t>
      </w:r>
      <w:r>
        <w:rPr>
          <w:rFonts w:asciiTheme="minorEastAsia" w:eastAsiaTheme="minorEastAsia" w:hAnsiTheme="minorEastAsia" w:cs="仿宋" w:hint="eastAsia"/>
          <w:sz w:val="24"/>
          <w:szCs w:val="24"/>
        </w:rPr>
        <w:t>预案</w:t>
      </w:r>
      <w:r w:rsidRPr="006D0CAB">
        <w:rPr>
          <w:rFonts w:asciiTheme="minorEastAsia" w:eastAsiaTheme="minorEastAsia" w:hAnsiTheme="minorEastAsia" w:cs="仿宋" w:hint="eastAsia"/>
          <w:sz w:val="24"/>
          <w:szCs w:val="24"/>
        </w:rPr>
        <w:t>披露之日</w:t>
      </w:r>
      <w:r>
        <w:rPr>
          <w:rFonts w:asciiTheme="minorEastAsia" w:eastAsiaTheme="minorEastAsia" w:hAnsiTheme="minorEastAsia" w:cs="仿宋" w:hint="eastAsia"/>
          <w:sz w:val="24"/>
          <w:szCs w:val="24"/>
        </w:rPr>
        <w:t>（即</w:t>
      </w:r>
      <w:r w:rsidRPr="000177B9">
        <w:rPr>
          <w:rFonts w:asciiTheme="minorEastAsia" w:eastAsiaTheme="minorEastAsia" w:hAnsiTheme="minorEastAsia" w:cs="仿宋" w:hint="eastAsia"/>
          <w:sz w:val="24"/>
          <w:szCs w:val="24"/>
        </w:rPr>
        <w:t>2015年6月30日</w:t>
      </w:r>
      <w:r>
        <w:rPr>
          <w:rFonts w:asciiTheme="minorEastAsia" w:eastAsiaTheme="minorEastAsia" w:hAnsiTheme="minorEastAsia" w:cs="仿宋" w:hint="eastAsia"/>
          <w:sz w:val="24"/>
          <w:szCs w:val="24"/>
        </w:rPr>
        <w:t>）</w:t>
      </w:r>
      <w:r w:rsidRPr="006D0CAB">
        <w:rPr>
          <w:rFonts w:asciiTheme="minorEastAsia" w:eastAsiaTheme="minorEastAsia" w:hAnsiTheme="minorEastAsia" w:cs="仿宋" w:hint="eastAsia"/>
          <w:sz w:val="24"/>
          <w:szCs w:val="24"/>
        </w:rPr>
        <w:t>起不超过10个交易日。</w:t>
      </w:r>
    </w:p>
    <w:p w:rsidR="005F73B4" w:rsidRDefault="005F73B4" w:rsidP="005F73B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仿宋" w:hint="eastAsia"/>
          <w:sz w:val="24"/>
          <w:szCs w:val="24"/>
        </w:rPr>
        <w:t>2015年7月3日，公司收到</w:t>
      </w:r>
      <w:r>
        <w:rPr>
          <w:rFonts w:asciiTheme="minorEastAsia" w:eastAsiaTheme="minorEastAsia" w:hAnsiTheme="minorEastAsia" w:hint="eastAsia"/>
          <w:sz w:val="24"/>
          <w:szCs w:val="24"/>
        </w:rPr>
        <w:t>深圳证券交易所发出的《</w:t>
      </w:r>
      <w:r w:rsidRPr="00542AE4">
        <w:rPr>
          <w:rFonts w:asciiTheme="minorEastAsia" w:eastAsiaTheme="minorEastAsia" w:hAnsiTheme="minorEastAsia" w:hint="eastAsia"/>
          <w:sz w:val="24"/>
          <w:szCs w:val="24"/>
        </w:rPr>
        <w:t>关于对武汉三特索道集团股份有限公司的重组问询函</w:t>
      </w:r>
      <w:r>
        <w:rPr>
          <w:rFonts w:asciiTheme="minorEastAsia" w:eastAsiaTheme="minorEastAsia" w:hAnsiTheme="minorEastAsia" w:hint="eastAsia"/>
          <w:sz w:val="24"/>
          <w:szCs w:val="24"/>
        </w:rPr>
        <w:t>》（</w:t>
      </w:r>
      <w:r w:rsidRPr="00542AE4">
        <w:rPr>
          <w:rFonts w:asciiTheme="minorEastAsia" w:eastAsiaTheme="minorEastAsia" w:hAnsiTheme="minorEastAsia" w:hint="eastAsia"/>
          <w:sz w:val="24"/>
          <w:szCs w:val="24"/>
        </w:rPr>
        <w:t>中小板重组问询函（</w:t>
      </w:r>
      <w:proofErr w:type="gramStart"/>
      <w:r w:rsidRPr="00542AE4">
        <w:rPr>
          <w:rFonts w:asciiTheme="minorEastAsia" w:eastAsiaTheme="minorEastAsia" w:hAnsiTheme="minorEastAsia" w:hint="eastAsia"/>
          <w:sz w:val="24"/>
          <w:szCs w:val="24"/>
        </w:rPr>
        <w:t>需行政</w:t>
      </w:r>
      <w:proofErr w:type="gramEnd"/>
      <w:r w:rsidRPr="00542AE4">
        <w:rPr>
          <w:rFonts w:asciiTheme="minorEastAsia" w:eastAsiaTheme="minorEastAsia" w:hAnsiTheme="minorEastAsia" w:hint="eastAsia"/>
          <w:sz w:val="24"/>
          <w:szCs w:val="24"/>
        </w:rPr>
        <w:t>许可）【2015】第</w:t>
      </w:r>
      <w:r>
        <w:rPr>
          <w:rFonts w:asciiTheme="minorEastAsia" w:eastAsiaTheme="minorEastAsia" w:hAnsiTheme="minorEastAsia" w:hint="eastAsia"/>
          <w:sz w:val="24"/>
          <w:szCs w:val="24"/>
        </w:rPr>
        <w:t>11</w:t>
      </w:r>
      <w:r w:rsidRPr="00542AE4">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w:t>
      </w:r>
      <w:proofErr w:type="gramStart"/>
      <w:r>
        <w:rPr>
          <w:rFonts w:asciiTheme="minorEastAsia" w:eastAsiaTheme="minorEastAsia" w:hAnsiTheme="minorEastAsia" w:hint="eastAsia"/>
          <w:sz w:val="24"/>
          <w:szCs w:val="24"/>
        </w:rPr>
        <w:t>》</w:t>
      </w:r>
      <w:proofErr w:type="gramEnd"/>
      <w:r>
        <w:rPr>
          <w:rFonts w:asciiTheme="minorEastAsia" w:eastAsiaTheme="minorEastAsia" w:hAnsiTheme="minorEastAsia" w:hint="eastAsia"/>
          <w:sz w:val="24"/>
          <w:szCs w:val="24"/>
        </w:rPr>
        <w:t>（以下简称“《</w:t>
      </w:r>
      <w:r w:rsidRPr="00542AE4">
        <w:rPr>
          <w:rFonts w:asciiTheme="minorEastAsia" w:eastAsiaTheme="minorEastAsia" w:hAnsiTheme="minorEastAsia" w:hint="eastAsia"/>
          <w:sz w:val="24"/>
          <w:szCs w:val="24"/>
        </w:rPr>
        <w:t>问询函》”）后，随即组织相关各方及中介机构积极准备</w:t>
      </w:r>
      <w:r>
        <w:rPr>
          <w:rFonts w:asciiTheme="minorEastAsia" w:eastAsiaTheme="minorEastAsia" w:hAnsiTheme="minorEastAsia" w:hint="eastAsia"/>
          <w:sz w:val="24"/>
          <w:szCs w:val="24"/>
        </w:rPr>
        <w:t>回复</w:t>
      </w:r>
      <w:r w:rsidRPr="00542AE4">
        <w:rPr>
          <w:rFonts w:asciiTheme="minorEastAsia" w:eastAsiaTheme="minorEastAsia" w:hAnsiTheme="minorEastAsia" w:hint="eastAsia"/>
          <w:sz w:val="24"/>
          <w:szCs w:val="24"/>
        </w:rPr>
        <w:t>工作</w:t>
      </w:r>
      <w:r>
        <w:rPr>
          <w:rFonts w:asciiTheme="minorEastAsia" w:eastAsiaTheme="minorEastAsia" w:hAnsiTheme="minorEastAsia" w:hint="eastAsia"/>
          <w:sz w:val="24"/>
          <w:szCs w:val="24"/>
        </w:rPr>
        <w:t>，并对重大资产重组预案等相关文件进行补充和完善。《问询函》要求公司对标的</w:t>
      </w:r>
      <w:proofErr w:type="gramStart"/>
      <w:r>
        <w:rPr>
          <w:rFonts w:asciiTheme="minorEastAsia" w:eastAsiaTheme="minorEastAsia" w:hAnsiTheme="minorEastAsia" w:hint="eastAsia"/>
          <w:sz w:val="24"/>
          <w:szCs w:val="24"/>
        </w:rPr>
        <w:t>资产枫彩生态</w:t>
      </w:r>
      <w:proofErr w:type="gramEnd"/>
      <w:r>
        <w:rPr>
          <w:rFonts w:asciiTheme="minorEastAsia" w:eastAsiaTheme="minorEastAsia" w:hAnsiTheme="minorEastAsia" w:hint="eastAsia"/>
          <w:sz w:val="24"/>
          <w:szCs w:val="24"/>
        </w:rPr>
        <w:t>历次公司估值的差异原因及本次估值的合理性</w:t>
      </w:r>
      <w:proofErr w:type="gramStart"/>
      <w:r>
        <w:rPr>
          <w:rFonts w:asciiTheme="minorEastAsia" w:eastAsiaTheme="minorEastAsia" w:hAnsiTheme="minorEastAsia" w:hint="eastAsia"/>
          <w:sz w:val="24"/>
          <w:szCs w:val="24"/>
        </w:rPr>
        <w:t>作出</w:t>
      </w:r>
      <w:proofErr w:type="gramEnd"/>
      <w:r>
        <w:rPr>
          <w:rFonts w:asciiTheme="minorEastAsia" w:eastAsiaTheme="minorEastAsia" w:hAnsiTheme="minorEastAsia" w:hint="eastAsia"/>
          <w:sz w:val="24"/>
          <w:szCs w:val="24"/>
        </w:rPr>
        <w:t>说明。由于资产评估机构需要重新</w:t>
      </w:r>
      <w:proofErr w:type="gramStart"/>
      <w:r>
        <w:rPr>
          <w:rFonts w:asciiTheme="minorEastAsia" w:eastAsiaTheme="minorEastAsia" w:hAnsiTheme="minorEastAsia" w:hint="eastAsia"/>
          <w:sz w:val="24"/>
          <w:szCs w:val="24"/>
        </w:rPr>
        <w:t>梳理枫彩生态</w:t>
      </w:r>
      <w:proofErr w:type="gramEnd"/>
      <w:r>
        <w:rPr>
          <w:rFonts w:asciiTheme="minorEastAsia" w:eastAsiaTheme="minorEastAsia" w:hAnsiTheme="minorEastAsia" w:hint="eastAsia"/>
          <w:sz w:val="24"/>
          <w:szCs w:val="24"/>
        </w:rPr>
        <w:t>历次估值，对评估方法和评估过程进行补充和完善，所涉及的数据较多，工作量较大，公司难以在2015年7月1</w:t>
      </w:r>
      <w:r w:rsidR="0034446D">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日前完成《问询函》和回复与信息披露工作。</w:t>
      </w:r>
      <w:r w:rsidR="007E4DD8">
        <w:rPr>
          <w:rFonts w:asciiTheme="minorEastAsia" w:eastAsiaTheme="minorEastAsia" w:hAnsiTheme="minorEastAsia" w:hint="eastAsia"/>
          <w:sz w:val="24"/>
          <w:szCs w:val="24"/>
        </w:rPr>
        <w:t>经</w:t>
      </w:r>
      <w:r w:rsidRPr="00E14D41">
        <w:rPr>
          <w:rFonts w:asciiTheme="minorEastAsia" w:eastAsiaTheme="minorEastAsia" w:hAnsiTheme="minorEastAsia" w:hint="eastAsia"/>
          <w:sz w:val="24"/>
          <w:szCs w:val="24"/>
        </w:rPr>
        <w:t>向</w:t>
      </w:r>
      <w:r>
        <w:rPr>
          <w:rFonts w:asciiTheme="minorEastAsia" w:eastAsiaTheme="minorEastAsia" w:hAnsiTheme="minorEastAsia" w:hint="eastAsia"/>
          <w:sz w:val="24"/>
          <w:szCs w:val="24"/>
        </w:rPr>
        <w:t>深圳证券交易所</w:t>
      </w:r>
      <w:r w:rsidRPr="00E14D41">
        <w:rPr>
          <w:rFonts w:asciiTheme="minorEastAsia" w:eastAsiaTheme="minorEastAsia" w:hAnsiTheme="minorEastAsia" w:hint="eastAsia"/>
          <w:sz w:val="24"/>
          <w:szCs w:val="24"/>
        </w:rPr>
        <w:t>申请</w:t>
      </w:r>
      <w:r w:rsidR="007E4DD8">
        <w:rPr>
          <w:rFonts w:asciiTheme="minorEastAsia" w:eastAsiaTheme="minorEastAsia" w:hAnsiTheme="minorEastAsia" w:hint="eastAsia"/>
          <w:sz w:val="24"/>
          <w:szCs w:val="24"/>
        </w:rPr>
        <w:t>，公司</w:t>
      </w:r>
      <w:r>
        <w:rPr>
          <w:rFonts w:asciiTheme="minorEastAsia" w:eastAsiaTheme="minorEastAsia" w:hAnsiTheme="minorEastAsia" w:hint="eastAsia"/>
          <w:sz w:val="24"/>
          <w:szCs w:val="24"/>
        </w:rPr>
        <w:t>延迟</w:t>
      </w:r>
      <w:r w:rsidR="0063490C">
        <w:rPr>
          <w:rFonts w:asciiTheme="minorEastAsia" w:eastAsiaTheme="minorEastAsia" w:hAnsiTheme="minorEastAsia" w:hint="eastAsia"/>
          <w:sz w:val="24"/>
          <w:szCs w:val="24"/>
        </w:rPr>
        <w:t>回复与披露</w:t>
      </w:r>
      <w:r>
        <w:rPr>
          <w:rFonts w:asciiTheme="minorEastAsia" w:eastAsiaTheme="minorEastAsia" w:hAnsiTheme="minorEastAsia" w:hint="eastAsia"/>
          <w:sz w:val="24"/>
          <w:szCs w:val="24"/>
        </w:rPr>
        <w:t>《问询函》，</w:t>
      </w:r>
      <w:r w:rsidR="00D37DEA">
        <w:rPr>
          <w:rFonts w:asciiTheme="minorEastAsia" w:eastAsiaTheme="minorEastAsia" w:hAnsiTheme="minorEastAsia" w:hint="eastAsia"/>
          <w:sz w:val="24"/>
          <w:szCs w:val="24"/>
        </w:rPr>
        <w:t>并于</w:t>
      </w:r>
      <w:r>
        <w:rPr>
          <w:rFonts w:asciiTheme="minorEastAsia" w:eastAsiaTheme="minorEastAsia" w:hAnsiTheme="minorEastAsia" w:hint="eastAsia"/>
          <w:sz w:val="24"/>
          <w:szCs w:val="24"/>
        </w:rPr>
        <w:t>2015年7月</w:t>
      </w:r>
      <w:r w:rsidR="00141161">
        <w:rPr>
          <w:rFonts w:asciiTheme="minorEastAsia" w:eastAsiaTheme="minorEastAsia" w:hAnsiTheme="minorEastAsia" w:hint="eastAsia"/>
          <w:sz w:val="24"/>
          <w:szCs w:val="24"/>
        </w:rPr>
        <w:t>14</w:t>
      </w:r>
      <w:r>
        <w:rPr>
          <w:rFonts w:asciiTheme="minorEastAsia" w:eastAsiaTheme="minorEastAsia" w:hAnsiTheme="minorEastAsia" w:hint="eastAsia"/>
          <w:sz w:val="24"/>
          <w:szCs w:val="24"/>
        </w:rPr>
        <w:t>日</w:t>
      </w:r>
      <w:r w:rsidR="00D37DEA">
        <w:rPr>
          <w:rFonts w:asciiTheme="minorEastAsia" w:eastAsiaTheme="minorEastAsia" w:hAnsiTheme="minorEastAsia" w:hint="eastAsia"/>
          <w:sz w:val="24"/>
          <w:szCs w:val="24"/>
        </w:rPr>
        <w:t>披露了《</w:t>
      </w:r>
      <w:r w:rsidR="00D37DEA" w:rsidRPr="00D37DEA">
        <w:rPr>
          <w:rFonts w:asciiTheme="minorEastAsia" w:eastAsiaTheme="minorEastAsia" w:hAnsiTheme="minorEastAsia" w:hint="eastAsia"/>
          <w:sz w:val="24"/>
          <w:szCs w:val="24"/>
        </w:rPr>
        <w:t>重大资产重组延期复牌的公告</w:t>
      </w:r>
      <w:r w:rsidR="00D37DEA">
        <w:rPr>
          <w:rFonts w:asciiTheme="minorEastAsia" w:eastAsiaTheme="minorEastAsia" w:hAnsiTheme="minorEastAsia" w:hint="eastAsia"/>
          <w:sz w:val="24"/>
          <w:szCs w:val="24"/>
        </w:rPr>
        <w:t>》</w:t>
      </w:r>
      <w:r w:rsidR="001B2186">
        <w:rPr>
          <w:rFonts w:asciiTheme="minorEastAsia" w:eastAsiaTheme="minorEastAsia" w:hAnsiTheme="minorEastAsia" w:hint="eastAsia"/>
          <w:sz w:val="24"/>
          <w:szCs w:val="24"/>
        </w:rPr>
        <w:t>（</w:t>
      </w:r>
      <w:r w:rsidR="001B2186" w:rsidRPr="001B2186">
        <w:rPr>
          <w:rFonts w:asciiTheme="minorEastAsia" w:eastAsiaTheme="minorEastAsia" w:hAnsiTheme="minorEastAsia" w:hint="eastAsia"/>
          <w:sz w:val="24"/>
          <w:szCs w:val="24"/>
        </w:rPr>
        <w:t>公告编号：临 2015-47</w:t>
      </w:r>
      <w:r w:rsidR="001B218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p>
    <w:p w:rsidR="00D37DEA" w:rsidRPr="00D37DEA" w:rsidRDefault="00D37DEA" w:rsidP="00D37DEA">
      <w:pPr>
        <w:spacing w:line="360" w:lineRule="auto"/>
        <w:ind w:firstLineChars="200" w:firstLine="480"/>
        <w:rPr>
          <w:rFonts w:asciiTheme="minorEastAsia" w:eastAsiaTheme="minorEastAsia" w:hAnsiTheme="minorEastAsia"/>
          <w:sz w:val="24"/>
        </w:rPr>
      </w:pPr>
      <w:r w:rsidRPr="00D37DEA">
        <w:rPr>
          <w:rFonts w:asciiTheme="minorEastAsia" w:eastAsiaTheme="minorEastAsia" w:hAnsiTheme="minorEastAsia" w:hint="eastAsia"/>
          <w:sz w:val="24"/>
        </w:rPr>
        <w:t>公司在重组预案披露后的停牌期间</w:t>
      </w:r>
      <w:r>
        <w:rPr>
          <w:rFonts w:asciiTheme="minorEastAsia" w:eastAsiaTheme="minorEastAsia" w:hAnsiTheme="minorEastAsia" w:hint="eastAsia"/>
          <w:sz w:val="24"/>
        </w:rPr>
        <w:t>，积极推动各中介机构的相关工作，现已完成《</w:t>
      </w:r>
      <w:r w:rsidR="006E2FF9">
        <w:rPr>
          <w:rFonts w:asciiTheme="minorEastAsia" w:eastAsiaTheme="minorEastAsia" w:hAnsiTheme="minorEastAsia" w:hint="eastAsia"/>
          <w:sz w:val="24"/>
        </w:rPr>
        <w:t>问询函》的回复工作。经公司向深圳证券交易所申请，公司股票（证券</w:t>
      </w:r>
      <w:r w:rsidRPr="00D37DEA">
        <w:rPr>
          <w:rFonts w:asciiTheme="minorEastAsia" w:eastAsiaTheme="minorEastAsia" w:hAnsiTheme="minorEastAsia" w:hint="eastAsia"/>
          <w:sz w:val="24"/>
        </w:rPr>
        <w:t>简</w:t>
      </w:r>
      <w:r w:rsidRPr="00D37DEA">
        <w:rPr>
          <w:rFonts w:asciiTheme="minorEastAsia" w:eastAsiaTheme="minorEastAsia" w:hAnsiTheme="minorEastAsia" w:hint="eastAsia"/>
          <w:sz w:val="24"/>
        </w:rPr>
        <w:lastRenderedPageBreak/>
        <w:t>称：</w:t>
      </w:r>
      <w:r>
        <w:rPr>
          <w:rFonts w:asciiTheme="minorEastAsia" w:eastAsiaTheme="minorEastAsia" w:hAnsiTheme="minorEastAsia" w:hint="eastAsia"/>
          <w:sz w:val="24"/>
        </w:rPr>
        <w:t>三</w:t>
      </w:r>
      <w:proofErr w:type="gramStart"/>
      <w:r>
        <w:rPr>
          <w:rFonts w:asciiTheme="minorEastAsia" w:eastAsiaTheme="minorEastAsia" w:hAnsiTheme="minorEastAsia" w:hint="eastAsia"/>
          <w:sz w:val="24"/>
        </w:rPr>
        <w:t>特</w:t>
      </w:r>
      <w:proofErr w:type="gramEnd"/>
      <w:r>
        <w:rPr>
          <w:rFonts w:asciiTheme="minorEastAsia" w:eastAsiaTheme="minorEastAsia" w:hAnsiTheme="minorEastAsia" w:hint="eastAsia"/>
          <w:sz w:val="24"/>
        </w:rPr>
        <w:t>索道</w:t>
      </w:r>
      <w:r w:rsidRPr="00D37DEA">
        <w:rPr>
          <w:rFonts w:asciiTheme="minorEastAsia" w:eastAsiaTheme="minorEastAsia" w:hAnsiTheme="minorEastAsia" w:hint="eastAsia"/>
          <w:sz w:val="24"/>
        </w:rPr>
        <w:t>，</w:t>
      </w:r>
      <w:r w:rsidR="006E2FF9">
        <w:rPr>
          <w:rFonts w:asciiTheme="minorEastAsia" w:eastAsiaTheme="minorEastAsia" w:hAnsiTheme="minorEastAsia" w:hint="eastAsia"/>
          <w:sz w:val="24"/>
        </w:rPr>
        <w:t>证券</w:t>
      </w:r>
      <w:r w:rsidRPr="00D37DEA">
        <w:rPr>
          <w:rFonts w:asciiTheme="minorEastAsia" w:eastAsiaTheme="minorEastAsia" w:hAnsiTheme="minorEastAsia" w:hint="eastAsia"/>
          <w:sz w:val="24"/>
        </w:rPr>
        <w:t>代码：0021</w:t>
      </w:r>
      <w:r>
        <w:rPr>
          <w:rFonts w:asciiTheme="minorEastAsia" w:eastAsiaTheme="minorEastAsia" w:hAnsiTheme="minorEastAsia" w:hint="eastAsia"/>
          <w:sz w:val="24"/>
        </w:rPr>
        <w:t>59</w:t>
      </w:r>
      <w:r w:rsidRPr="00D37DEA">
        <w:rPr>
          <w:rFonts w:asciiTheme="minorEastAsia" w:eastAsiaTheme="minorEastAsia" w:hAnsiTheme="minorEastAsia" w:hint="eastAsia"/>
          <w:sz w:val="24"/>
        </w:rPr>
        <w:t>）</w:t>
      </w:r>
      <w:r>
        <w:rPr>
          <w:rFonts w:asciiTheme="minorEastAsia" w:eastAsiaTheme="minorEastAsia" w:hAnsiTheme="minorEastAsia" w:hint="eastAsia"/>
          <w:sz w:val="24"/>
        </w:rPr>
        <w:t>定于</w:t>
      </w:r>
      <w:r w:rsidRPr="00D37DEA">
        <w:rPr>
          <w:rFonts w:asciiTheme="minorEastAsia" w:eastAsiaTheme="minorEastAsia" w:hAnsiTheme="minorEastAsia" w:hint="eastAsia"/>
          <w:sz w:val="24"/>
        </w:rPr>
        <w:t>2015年7月1</w:t>
      </w:r>
      <w:r>
        <w:rPr>
          <w:rFonts w:asciiTheme="minorEastAsia" w:eastAsiaTheme="minorEastAsia" w:hAnsiTheme="minorEastAsia" w:hint="eastAsia"/>
          <w:sz w:val="24"/>
        </w:rPr>
        <w:t>7日</w:t>
      </w:r>
      <w:r w:rsidRPr="00D37DEA">
        <w:rPr>
          <w:rFonts w:asciiTheme="minorEastAsia" w:eastAsiaTheme="minorEastAsia" w:hAnsiTheme="minorEastAsia" w:hint="eastAsia"/>
          <w:sz w:val="24"/>
        </w:rPr>
        <w:t>开市起复牌。</w:t>
      </w:r>
    </w:p>
    <w:p w:rsidR="00F63CA3" w:rsidRDefault="006D0CAB" w:rsidP="006D0CAB">
      <w:pPr>
        <w:spacing w:line="360" w:lineRule="auto"/>
        <w:ind w:firstLineChars="200" w:firstLine="480"/>
        <w:rPr>
          <w:rFonts w:asciiTheme="minorEastAsia" w:eastAsiaTheme="minorEastAsia" w:hAnsiTheme="minorEastAsia" w:cs="仿宋"/>
          <w:sz w:val="24"/>
          <w:szCs w:val="24"/>
        </w:rPr>
      </w:pPr>
      <w:r w:rsidRPr="006D0CAB">
        <w:rPr>
          <w:rFonts w:asciiTheme="minorEastAsia" w:eastAsiaTheme="minorEastAsia" w:hAnsiTheme="minorEastAsia" w:cs="仿宋" w:hint="eastAsia"/>
          <w:sz w:val="24"/>
          <w:szCs w:val="24"/>
        </w:rPr>
        <w:t>本次重组尚需</w:t>
      </w:r>
      <w:r>
        <w:rPr>
          <w:rFonts w:asciiTheme="minorEastAsia" w:eastAsiaTheme="minorEastAsia" w:hAnsiTheme="minorEastAsia" w:cs="仿宋" w:hint="eastAsia"/>
          <w:sz w:val="24"/>
          <w:szCs w:val="24"/>
        </w:rPr>
        <w:t>提交</w:t>
      </w:r>
      <w:r w:rsidRPr="006D0CAB">
        <w:rPr>
          <w:rFonts w:asciiTheme="minorEastAsia" w:eastAsiaTheme="minorEastAsia" w:hAnsiTheme="minorEastAsia" w:cs="仿宋" w:hint="eastAsia"/>
          <w:sz w:val="24"/>
          <w:szCs w:val="24"/>
        </w:rPr>
        <w:t>公司股东大会审核并报中国证监会核准，本次交易能否取得上述核准以及最终取得核准的时间均存在不确定性。敬请广大投资者注意投资风险。</w:t>
      </w:r>
    </w:p>
    <w:p w:rsidR="006A4F55" w:rsidRPr="00F63CA3" w:rsidRDefault="006112E7" w:rsidP="00500C15">
      <w:pPr>
        <w:spacing w:line="360" w:lineRule="auto"/>
        <w:ind w:firstLine="56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特此公告。</w:t>
      </w:r>
    </w:p>
    <w:p w:rsidR="005D3DE7" w:rsidRDefault="005D3DE7" w:rsidP="00500C15">
      <w:pPr>
        <w:spacing w:line="360" w:lineRule="auto"/>
        <w:ind w:firstLine="560"/>
        <w:rPr>
          <w:rFonts w:asciiTheme="minorEastAsia" w:eastAsiaTheme="minorEastAsia" w:hAnsiTheme="minorEastAsia" w:cs="仿宋"/>
          <w:sz w:val="24"/>
          <w:szCs w:val="24"/>
        </w:rPr>
      </w:pPr>
    </w:p>
    <w:p w:rsidR="00F471A2" w:rsidRPr="00F63CA3" w:rsidRDefault="00F471A2" w:rsidP="00500C15">
      <w:pPr>
        <w:spacing w:line="360" w:lineRule="auto"/>
        <w:ind w:firstLine="560"/>
        <w:rPr>
          <w:rFonts w:asciiTheme="minorEastAsia" w:eastAsiaTheme="minorEastAsia" w:hAnsiTheme="minorEastAsia" w:cs="仿宋"/>
          <w:sz w:val="24"/>
          <w:szCs w:val="24"/>
        </w:rPr>
      </w:pPr>
    </w:p>
    <w:p w:rsidR="006A4F55" w:rsidRPr="00F63CA3" w:rsidRDefault="006A4F55" w:rsidP="007D16A5">
      <w:pPr>
        <w:spacing w:line="360" w:lineRule="auto"/>
        <w:ind w:firstLine="420"/>
        <w:jc w:val="right"/>
        <w:rPr>
          <w:rFonts w:asciiTheme="minorEastAsia" w:eastAsiaTheme="minorEastAsia" w:hAnsiTheme="minorEastAsia"/>
          <w:sz w:val="24"/>
          <w:szCs w:val="24"/>
        </w:rPr>
      </w:pPr>
      <w:r w:rsidRPr="00F63CA3">
        <w:rPr>
          <w:rFonts w:asciiTheme="minorEastAsia" w:eastAsiaTheme="minorEastAsia" w:hAnsiTheme="minorEastAsia" w:cs="仿宋" w:hint="eastAsia"/>
          <w:sz w:val="24"/>
          <w:szCs w:val="24"/>
        </w:rPr>
        <w:t>武汉三</w:t>
      </w:r>
      <w:proofErr w:type="gramStart"/>
      <w:r w:rsidRPr="00F63CA3">
        <w:rPr>
          <w:rFonts w:asciiTheme="minorEastAsia" w:eastAsiaTheme="minorEastAsia" w:hAnsiTheme="minorEastAsia" w:cs="仿宋" w:hint="eastAsia"/>
          <w:sz w:val="24"/>
          <w:szCs w:val="24"/>
        </w:rPr>
        <w:t>特</w:t>
      </w:r>
      <w:proofErr w:type="gramEnd"/>
      <w:r w:rsidRPr="00F63CA3">
        <w:rPr>
          <w:rFonts w:asciiTheme="minorEastAsia" w:eastAsiaTheme="minorEastAsia" w:hAnsiTheme="minorEastAsia" w:cs="仿宋" w:hint="eastAsia"/>
          <w:sz w:val="24"/>
          <w:szCs w:val="24"/>
        </w:rPr>
        <w:t>索道集团股份有限公司</w:t>
      </w:r>
    </w:p>
    <w:p w:rsidR="006A4F55" w:rsidRPr="00F63CA3" w:rsidRDefault="007E4DD8" w:rsidP="00F63CA3">
      <w:pPr>
        <w:spacing w:line="360" w:lineRule="auto"/>
        <w:ind w:firstLineChars="2000" w:firstLine="4800"/>
        <w:rPr>
          <w:rFonts w:asciiTheme="minorEastAsia" w:eastAsiaTheme="minorEastAsia" w:hAnsiTheme="minorEastAsia"/>
          <w:sz w:val="24"/>
          <w:szCs w:val="24"/>
        </w:rPr>
      </w:pPr>
      <w:r>
        <w:rPr>
          <w:rFonts w:asciiTheme="minorEastAsia" w:eastAsiaTheme="minorEastAsia" w:hAnsiTheme="minorEastAsia" w:cs="仿宋" w:hint="eastAsia"/>
          <w:sz w:val="24"/>
          <w:szCs w:val="24"/>
        </w:rPr>
        <w:t xml:space="preserve">          </w:t>
      </w:r>
      <w:r w:rsidR="006A4F55" w:rsidRPr="00F63CA3">
        <w:rPr>
          <w:rFonts w:asciiTheme="minorEastAsia" w:eastAsiaTheme="minorEastAsia" w:hAnsiTheme="minorEastAsia" w:cs="仿宋" w:hint="eastAsia"/>
          <w:sz w:val="24"/>
          <w:szCs w:val="24"/>
        </w:rPr>
        <w:t>董</w:t>
      </w:r>
      <w:r w:rsidR="006A4F55" w:rsidRPr="00F63CA3">
        <w:rPr>
          <w:rFonts w:asciiTheme="minorEastAsia" w:eastAsiaTheme="minorEastAsia" w:hAnsiTheme="minorEastAsia" w:cs="仿宋"/>
          <w:sz w:val="24"/>
          <w:szCs w:val="24"/>
        </w:rPr>
        <w:t xml:space="preserve">   </w:t>
      </w:r>
      <w:r w:rsidR="006A4F55" w:rsidRPr="00F63CA3">
        <w:rPr>
          <w:rFonts w:asciiTheme="minorEastAsia" w:eastAsiaTheme="minorEastAsia" w:hAnsiTheme="minorEastAsia" w:cs="仿宋" w:hint="eastAsia"/>
          <w:sz w:val="24"/>
          <w:szCs w:val="24"/>
        </w:rPr>
        <w:t>事</w:t>
      </w:r>
      <w:r w:rsidR="006A4F55" w:rsidRPr="00F63CA3">
        <w:rPr>
          <w:rFonts w:asciiTheme="minorEastAsia" w:eastAsiaTheme="minorEastAsia" w:hAnsiTheme="minorEastAsia" w:cs="仿宋"/>
          <w:sz w:val="24"/>
          <w:szCs w:val="24"/>
        </w:rPr>
        <w:t xml:space="preserve">   </w:t>
      </w:r>
      <w:r w:rsidR="006A4F55" w:rsidRPr="00F63CA3">
        <w:rPr>
          <w:rFonts w:asciiTheme="minorEastAsia" w:eastAsiaTheme="minorEastAsia" w:hAnsiTheme="minorEastAsia" w:cs="仿宋" w:hint="eastAsia"/>
          <w:sz w:val="24"/>
          <w:szCs w:val="24"/>
        </w:rPr>
        <w:t>会</w:t>
      </w:r>
    </w:p>
    <w:p w:rsidR="006A4F55" w:rsidRPr="00F63CA3" w:rsidRDefault="006A4F55" w:rsidP="007D16A5">
      <w:pPr>
        <w:spacing w:line="360" w:lineRule="auto"/>
        <w:jc w:val="center"/>
        <w:rPr>
          <w:rFonts w:asciiTheme="minorEastAsia" w:eastAsiaTheme="minorEastAsia" w:hAnsiTheme="minorEastAsia" w:cs="仿宋"/>
          <w:sz w:val="24"/>
          <w:szCs w:val="24"/>
        </w:rPr>
      </w:pPr>
      <w:r w:rsidRPr="00F63CA3">
        <w:rPr>
          <w:rFonts w:asciiTheme="minorEastAsia" w:eastAsiaTheme="minorEastAsia" w:hAnsiTheme="minorEastAsia" w:cs="仿宋"/>
          <w:sz w:val="24"/>
          <w:szCs w:val="24"/>
        </w:rPr>
        <w:t xml:space="preserve">                                </w:t>
      </w:r>
      <w:r w:rsidR="006D0CAB">
        <w:rPr>
          <w:rFonts w:asciiTheme="minorEastAsia" w:eastAsiaTheme="minorEastAsia" w:hAnsiTheme="minorEastAsia" w:cs="仿宋" w:hint="eastAsia"/>
          <w:sz w:val="24"/>
          <w:szCs w:val="24"/>
        </w:rPr>
        <w:t xml:space="preserve">          </w:t>
      </w:r>
      <w:r w:rsidR="00EE3748" w:rsidRPr="00F63CA3">
        <w:rPr>
          <w:rFonts w:asciiTheme="minorEastAsia" w:eastAsiaTheme="minorEastAsia" w:hAnsiTheme="minorEastAsia" w:cs="仿宋" w:hint="eastAsia"/>
          <w:sz w:val="24"/>
          <w:szCs w:val="24"/>
        </w:rPr>
        <w:t xml:space="preserve"> 2015</w:t>
      </w:r>
      <w:r w:rsidRPr="00F63CA3">
        <w:rPr>
          <w:rFonts w:asciiTheme="minorEastAsia" w:eastAsiaTheme="minorEastAsia" w:hAnsiTheme="minorEastAsia" w:cs="仿宋" w:hint="eastAsia"/>
          <w:sz w:val="24"/>
          <w:szCs w:val="24"/>
        </w:rPr>
        <w:t>年</w:t>
      </w:r>
      <w:r w:rsidR="005F73B4">
        <w:rPr>
          <w:rFonts w:asciiTheme="minorEastAsia" w:eastAsiaTheme="minorEastAsia" w:hAnsiTheme="minorEastAsia" w:cs="仿宋" w:hint="eastAsia"/>
          <w:sz w:val="24"/>
          <w:szCs w:val="24"/>
        </w:rPr>
        <w:t>7</w:t>
      </w:r>
      <w:r w:rsidRPr="00F63CA3">
        <w:rPr>
          <w:rFonts w:asciiTheme="minorEastAsia" w:eastAsiaTheme="minorEastAsia" w:hAnsiTheme="minorEastAsia" w:cs="仿宋" w:hint="eastAsia"/>
          <w:sz w:val="24"/>
          <w:szCs w:val="24"/>
        </w:rPr>
        <w:t>月</w:t>
      </w:r>
      <w:r w:rsidR="005F73B4">
        <w:rPr>
          <w:rFonts w:asciiTheme="minorEastAsia" w:eastAsiaTheme="minorEastAsia" w:hAnsiTheme="minorEastAsia" w:cs="仿宋" w:hint="eastAsia"/>
          <w:sz w:val="24"/>
          <w:szCs w:val="24"/>
        </w:rPr>
        <w:t>1</w:t>
      </w:r>
      <w:r w:rsidR="00D37DEA">
        <w:rPr>
          <w:rFonts w:asciiTheme="minorEastAsia" w:eastAsiaTheme="minorEastAsia" w:hAnsiTheme="minorEastAsia" w:cs="仿宋" w:hint="eastAsia"/>
          <w:sz w:val="24"/>
          <w:szCs w:val="24"/>
        </w:rPr>
        <w:t>7</w:t>
      </w:r>
      <w:r w:rsidRPr="00F63CA3">
        <w:rPr>
          <w:rFonts w:asciiTheme="minorEastAsia" w:eastAsiaTheme="minorEastAsia" w:hAnsiTheme="minorEastAsia" w:cs="仿宋" w:hint="eastAsia"/>
          <w:sz w:val="24"/>
          <w:szCs w:val="24"/>
        </w:rPr>
        <w:t>日</w:t>
      </w:r>
    </w:p>
    <w:p w:rsidR="005D3DE7" w:rsidRPr="00F63CA3" w:rsidRDefault="005D3DE7" w:rsidP="007D16A5">
      <w:pPr>
        <w:spacing w:line="360" w:lineRule="auto"/>
        <w:jc w:val="center"/>
        <w:rPr>
          <w:rFonts w:asciiTheme="minorEastAsia" w:eastAsiaTheme="minorEastAsia" w:hAnsiTheme="minorEastAsia" w:cs="仿宋"/>
          <w:sz w:val="24"/>
          <w:szCs w:val="24"/>
        </w:rPr>
      </w:pPr>
    </w:p>
    <w:p w:rsidR="005D3DE7" w:rsidRPr="00F63CA3" w:rsidRDefault="005D3DE7" w:rsidP="007D16A5">
      <w:pPr>
        <w:spacing w:line="360" w:lineRule="auto"/>
        <w:jc w:val="center"/>
        <w:rPr>
          <w:rFonts w:asciiTheme="minorEastAsia" w:eastAsiaTheme="minorEastAsia" w:hAnsiTheme="minorEastAsia" w:cs="仿宋"/>
          <w:sz w:val="24"/>
          <w:szCs w:val="24"/>
        </w:rPr>
      </w:pPr>
    </w:p>
    <w:p w:rsidR="005D3DE7" w:rsidRPr="00F63CA3" w:rsidRDefault="005D3DE7" w:rsidP="007D16A5">
      <w:pPr>
        <w:spacing w:line="360" w:lineRule="auto"/>
        <w:jc w:val="center"/>
        <w:rPr>
          <w:rFonts w:asciiTheme="minorEastAsia" w:eastAsiaTheme="minorEastAsia" w:hAnsiTheme="minorEastAsia"/>
          <w:sz w:val="24"/>
          <w:szCs w:val="24"/>
        </w:rPr>
      </w:pPr>
    </w:p>
    <w:p w:rsidR="00AE22C4" w:rsidRPr="00F63CA3" w:rsidRDefault="00DD302D" w:rsidP="00DD302D">
      <w:pPr>
        <w:jc w:val="center"/>
        <w:rPr>
          <w:rFonts w:asciiTheme="minorEastAsia" w:eastAsiaTheme="minorEastAsia" w:hAnsiTheme="minorEastAsia"/>
        </w:rPr>
      </w:pPr>
      <w:r w:rsidRPr="00F63CA3">
        <w:rPr>
          <w:rFonts w:asciiTheme="minorEastAsia" w:eastAsiaTheme="minorEastAsia" w:hAnsiTheme="minorEastAsia"/>
        </w:rPr>
        <w:t xml:space="preserve"> </w:t>
      </w:r>
    </w:p>
    <w:p w:rsidR="005D3DE7" w:rsidRPr="00F63CA3" w:rsidRDefault="005D3DE7" w:rsidP="005D3DE7">
      <w:pPr>
        <w:spacing w:line="360" w:lineRule="auto"/>
        <w:jc w:val="left"/>
        <w:rPr>
          <w:rFonts w:asciiTheme="minorEastAsia" w:eastAsiaTheme="minorEastAsia" w:hAnsiTheme="minorEastAsia"/>
          <w:sz w:val="24"/>
          <w:szCs w:val="24"/>
        </w:rPr>
      </w:pPr>
    </w:p>
    <w:sectPr w:rsidR="005D3DE7" w:rsidRPr="00F63CA3" w:rsidSect="001E248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205" w:rsidRDefault="00B43205" w:rsidP="00AB2AC6">
      <w:r>
        <w:separator/>
      </w:r>
    </w:p>
  </w:endnote>
  <w:endnote w:type="continuationSeparator" w:id="0">
    <w:p w:rsidR="00B43205" w:rsidRDefault="00B43205" w:rsidP="00AB2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205" w:rsidRDefault="00B43205" w:rsidP="00AB2AC6">
      <w:r>
        <w:separator/>
      </w:r>
    </w:p>
  </w:footnote>
  <w:footnote w:type="continuationSeparator" w:id="0">
    <w:p w:rsidR="00B43205" w:rsidRDefault="00B43205" w:rsidP="00AB2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55" w:rsidRPr="008B2662" w:rsidRDefault="006A4F55" w:rsidP="008B266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A13"/>
    <w:rsid w:val="00000A13"/>
    <w:rsid w:val="000108C5"/>
    <w:rsid w:val="00046962"/>
    <w:rsid w:val="00054C64"/>
    <w:rsid w:val="0008047D"/>
    <w:rsid w:val="000814BD"/>
    <w:rsid w:val="00087B2B"/>
    <w:rsid w:val="00090A57"/>
    <w:rsid w:val="000D61CE"/>
    <w:rsid w:val="000E0EE2"/>
    <w:rsid w:val="00141161"/>
    <w:rsid w:val="001624BC"/>
    <w:rsid w:val="00190B71"/>
    <w:rsid w:val="001A7ABC"/>
    <w:rsid w:val="001B2186"/>
    <w:rsid w:val="001B4E19"/>
    <w:rsid w:val="001B7C2F"/>
    <w:rsid w:val="001C34B8"/>
    <w:rsid w:val="001D6807"/>
    <w:rsid w:val="001E2480"/>
    <w:rsid w:val="0021515E"/>
    <w:rsid w:val="00225DFA"/>
    <w:rsid w:val="00240D58"/>
    <w:rsid w:val="00265B45"/>
    <w:rsid w:val="002705E9"/>
    <w:rsid w:val="00280F8E"/>
    <w:rsid w:val="0029643F"/>
    <w:rsid w:val="002A77D8"/>
    <w:rsid w:val="002C43D0"/>
    <w:rsid w:val="002D275B"/>
    <w:rsid w:val="002E342D"/>
    <w:rsid w:val="002F143E"/>
    <w:rsid w:val="00305BB0"/>
    <w:rsid w:val="00335F6D"/>
    <w:rsid w:val="00344367"/>
    <w:rsid w:val="0034446D"/>
    <w:rsid w:val="00367EF8"/>
    <w:rsid w:val="00374FB2"/>
    <w:rsid w:val="003771A6"/>
    <w:rsid w:val="003A5EC3"/>
    <w:rsid w:val="003A64AD"/>
    <w:rsid w:val="003B32C4"/>
    <w:rsid w:val="003C54BD"/>
    <w:rsid w:val="003D6E57"/>
    <w:rsid w:val="003E4D70"/>
    <w:rsid w:val="00401039"/>
    <w:rsid w:val="004107EF"/>
    <w:rsid w:val="00421101"/>
    <w:rsid w:val="00435D09"/>
    <w:rsid w:val="00454B9D"/>
    <w:rsid w:val="0048364D"/>
    <w:rsid w:val="00491D08"/>
    <w:rsid w:val="00492BB0"/>
    <w:rsid w:val="004A49BC"/>
    <w:rsid w:val="004C4BE3"/>
    <w:rsid w:val="004D2309"/>
    <w:rsid w:val="004D716B"/>
    <w:rsid w:val="004E1D70"/>
    <w:rsid w:val="00500C15"/>
    <w:rsid w:val="005061B5"/>
    <w:rsid w:val="00513714"/>
    <w:rsid w:val="00560C94"/>
    <w:rsid w:val="00561C49"/>
    <w:rsid w:val="00566326"/>
    <w:rsid w:val="005829D3"/>
    <w:rsid w:val="005B0991"/>
    <w:rsid w:val="005B689C"/>
    <w:rsid w:val="005C563A"/>
    <w:rsid w:val="005D1E1B"/>
    <w:rsid w:val="005D3DE7"/>
    <w:rsid w:val="005F3DA9"/>
    <w:rsid w:val="005F73B4"/>
    <w:rsid w:val="006112E7"/>
    <w:rsid w:val="0062353E"/>
    <w:rsid w:val="0063490C"/>
    <w:rsid w:val="00667BAC"/>
    <w:rsid w:val="0069376C"/>
    <w:rsid w:val="006A4F55"/>
    <w:rsid w:val="006A55CA"/>
    <w:rsid w:val="006B6B68"/>
    <w:rsid w:val="006C619B"/>
    <w:rsid w:val="006D0CAB"/>
    <w:rsid w:val="006E2FF9"/>
    <w:rsid w:val="006E6977"/>
    <w:rsid w:val="00707A91"/>
    <w:rsid w:val="007404E4"/>
    <w:rsid w:val="00793D12"/>
    <w:rsid w:val="007963C4"/>
    <w:rsid w:val="007C4425"/>
    <w:rsid w:val="007D16A5"/>
    <w:rsid w:val="007E03E0"/>
    <w:rsid w:val="007E0D54"/>
    <w:rsid w:val="007E4DD8"/>
    <w:rsid w:val="007E5267"/>
    <w:rsid w:val="007F4270"/>
    <w:rsid w:val="00841E51"/>
    <w:rsid w:val="00853CB1"/>
    <w:rsid w:val="00856140"/>
    <w:rsid w:val="0087461E"/>
    <w:rsid w:val="008813E1"/>
    <w:rsid w:val="00884953"/>
    <w:rsid w:val="00885097"/>
    <w:rsid w:val="008A7E50"/>
    <w:rsid w:val="008B2662"/>
    <w:rsid w:val="008D3749"/>
    <w:rsid w:val="008F01F7"/>
    <w:rsid w:val="008F045E"/>
    <w:rsid w:val="008F3454"/>
    <w:rsid w:val="009042BA"/>
    <w:rsid w:val="009306D1"/>
    <w:rsid w:val="009317CF"/>
    <w:rsid w:val="009624B1"/>
    <w:rsid w:val="009625FF"/>
    <w:rsid w:val="00991D75"/>
    <w:rsid w:val="00996245"/>
    <w:rsid w:val="009C1FA8"/>
    <w:rsid w:val="009D2047"/>
    <w:rsid w:val="009E6D24"/>
    <w:rsid w:val="009F2524"/>
    <w:rsid w:val="00A022C5"/>
    <w:rsid w:val="00A20D71"/>
    <w:rsid w:val="00A95BE5"/>
    <w:rsid w:val="00AA33C9"/>
    <w:rsid w:val="00AB2AC6"/>
    <w:rsid w:val="00AC2789"/>
    <w:rsid w:val="00AD175E"/>
    <w:rsid w:val="00AE22C4"/>
    <w:rsid w:val="00B001E6"/>
    <w:rsid w:val="00B065DB"/>
    <w:rsid w:val="00B43205"/>
    <w:rsid w:val="00B53335"/>
    <w:rsid w:val="00B810B5"/>
    <w:rsid w:val="00B83294"/>
    <w:rsid w:val="00B84B2A"/>
    <w:rsid w:val="00B9024D"/>
    <w:rsid w:val="00BA108E"/>
    <w:rsid w:val="00BC3E88"/>
    <w:rsid w:val="00BC3FCA"/>
    <w:rsid w:val="00BC5721"/>
    <w:rsid w:val="00BD7D1E"/>
    <w:rsid w:val="00BE76CD"/>
    <w:rsid w:val="00BF4B00"/>
    <w:rsid w:val="00C46BF2"/>
    <w:rsid w:val="00C50FAA"/>
    <w:rsid w:val="00CB1A11"/>
    <w:rsid w:val="00CB53A7"/>
    <w:rsid w:val="00CC20FA"/>
    <w:rsid w:val="00CE2F53"/>
    <w:rsid w:val="00CE5B31"/>
    <w:rsid w:val="00CF0D1E"/>
    <w:rsid w:val="00CF3C64"/>
    <w:rsid w:val="00D028FF"/>
    <w:rsid w:val="00D37DEA"/>
    <w:rsid w:val="00D44C0B"/>
    <w:rsid w:val="00D454D1"/>
    <w:rsid w:val="00D82FBB"/>
    <w:rsid w:val="00D906A3"/>
    <w:rsid w:val="00D914E5"/>
    <w:rsid w:val="00DB2016"/>
    <w:rsid w:val="00DC6D8F"/>
    <w:rsid w:val="00DD302D"/>
    <w:rsid w:val="00E11973"/>
    <w:rsid w:val="00E36291"/>
    <w:rsid w:val="00E654F2"/>
    <w:rsid w:val="00E9108C"/>
    <w:rsid w:val="00EB4CFF"/>
    <w:rsid w:val="00EC260B"/>
    <w:rsid w:val="00EC3742"/>
    <w:rsid w:val="00EC41E5"/>
    <w:rsid w:val="00EC5EEC"/>
    <w:rsid w:val="00ED4D2F"/>
    <w:rsid w:val="00EE2816"/>
    <w:rsid w:val="00EE3748"/>
    <w:rsid w:val="00EE3AD8"/>
    <w:rsid w:val="00F172AE"/>
    <w:rsid w:val="00F37C33"/>
    <w:rsid w:val="00F471A2"/>
    <w:rsid w:val="00F63CA3"/>
    <w:rsid w:val="00F744CE"/>
    <w:rsid w:val="00F9145A"/>
    <w:rsid w:val="00F93FA5"/>
    <w:rsid w:val="00F974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A13"/>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B2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B2AC6"/>
    <w:rPr>
      <w:rFonts w:ascii="Times New Roman" w:eastAsia="宋体" w:hAnsi="Times New Roman" w:cs="Times New Roman"/>
      <w:sz w:val="18"/>
      <w:szCs w:val="18"/>
    </w:rPr>
  </w:style>
  <w:style w:type="paragraph" w:styleId="a4">
    <w:name w:val="footer"/>
    <w:basedOn w:val="a"/>
    <w:link w:val="Char0"/>
    <w:uiPriority w:val="99"/>
    <w:semiHidden/>
    <w:rsid w:val="00AB2AC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B2AC6"/>
    <w:rPr>
      <w:rFonts w:ascii="Times New Roman" w:eastAsia="宋体" w:hAnsi="Times New Roman" w:cs="Times New Roman"/>
      <w:sz w:val="18"/>
      <w:szCs w:val="18"/>
    </w:rPr>
  </w:style>
  <w:style w:type="character" w:styleId="a5">
    <w:name w:val="Hyperlink"/>
    <w:basedOn w:val="a0"/>
    <w:uiPriority w:val="99"/>
    <w:rsid w:val="00374FB2"/>
    <w:rPr>
      <w:color w:val="0000FF"/>
      <w:u w:val="single"/>
    </w:rPr>
  </w:style>
  <w:style w:type="paragraph" w:styleId="a6">
    <w:name w:val="Date"/>
    <w:basedOn w:val="a"/>
    <w:next w:val="a"/>
    <w:link w:val="Char1"/>
    <w:uiPriority w:val="99"/>
    <w:semiHidden/>
    <w:unhideWhenUsed/>
    <w:rsid w:val="005D3DE7"/>
    <w:pPr>
      <w:ind w:leftChars="2500" w:left="100"/>
    </w:pPr>
  </w:style>
  <w:style w:type="character" w:customStyle="1" w:styleId="Char1">
    <w:name w:val="日期 Char"/>
    <w:basedOn w:val="a0"/>
    <w:link w:val="a6"/>
    <w:uiPriority w:val="99"/>
    <w:semiHidden/>
    <w:rsid w:val="005D3DE7"/>
    <w:rPr>
      <w:rFonts w:ascii="Times New Roman" w:hAnsi="Times New Roman"/>
      <w:kern w:val="2"/>
      <w:sz w:val="21"/>
      <w:szCs w:val="21"/>
    </w:rPr>
  </w:style>
  <w:style w:type="paragraph" w:customStyle="1" w:styleId="Default">
    <w:name w:val="Default"/>
    <w:rsid w:val="005D3DE7"/>
    <w:pPr>
      <w:widowControl w:val="0"/>
      <w:autoSpaceDE w:val="0"/>
      <w:autoSpaceDN w:val="0"/>
      <w:adjustRightInd w:val="0"/>
    </w:pPr>
    <w:rPr>
      <w:rFonts w:ascii="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017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dc:creator>
  <cp:keywords/>
  <dc:description/>
  <cp:lastModifiedBy>won</cp:lastModifiedBy>
  <cp:revision>88</cp:revision>
  <cp:lastPrinted>2015-06-29T03:15:00Z</cp:lastPrinted>
  <dcterms:created xsi:type="dcterms:W3CDTF">2014-03-20T06:58:00Z</dcterms:created>
  <dcterms:modified xsi:type="dcterms:W3CDTF">2015-07-16T11:41:00Z</dcterms:modified>
</cp:coreProperties>
</file>